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32" w:rsidRPr="00C3130E" w:rsidRDefault="0040165C" w:rsidP="00C3130E">
      <w:pPr>
        <w:spacing w:after="240" w:line="276" w:lineRule="auto"/>
        <w:jc w:val="center"/>
        <w:rPr>
          <w:b/>
        </w:rPr>
      </w:pPr>
      <w:bookmarkStart w:id="0" w:name="_Toc343330184"/>
      <w:bookmarkStart w:id="1" w:name="_Toc343593924"/>
      <w:r w:rsidRPr="00C3130E">
        <w:rPr>
          <w:b/>
        </w:rPr>
        <w:t>Helyzetjelentés Törökország m</w:t>
      </w:r>
      <w:r w:rsidR="00E701AD" w:rsidRPr="00C3130E">
        <w:rPr>
          <w:b/>
        </w:rPr>
        <w:t xml:space="preserve">akrogazdasági </w:t>
      </w:r>
      <w:r w:rsidRPr="00C3130E">
        <w:rPr>
          <w:b/>
        </w:rPr>
        <w:t>mutatóiról, a m</w:t>
      </w:r>
      <w:r w:rsidR="00C3130E" w:rsidRPr="00C3130E">
        <w:rPr>
          <w:b/>
        </w:rPr>
        <w:t xml:space="preserve">agyar-török kétoldalú gazdasági </w:t>
      </w:r>
      <w:r w:rsidRPr="00C3130E">
        <w:rPr>
          <w:b/>
        </w:rPr>
        <w:t>kapcsolatokról</w:t>
      </w:r>
    </w:p>
    <w:p w:rsidR="00473D11" w:rsidRDefault="003A471B" w:rsidP="00C05752">
      <w:pPr>
        <w:spacing w:line="276" w:lineRule="auto"/>
        <w:jc w:val="both"/>
      </w:pPr>
      <w:r>
        <w:t>N</w:t>
      </w:r>
      <w:r w:rsidR="00C05752">
        <w:t>agykövetség</w:t>
      </w:r>
      <w:r>
        <w:t>ünk az alábbi é</w:t>
      </w:r>
      <w:r w:rsidR="0086190B">
        <w:t>rté</w:t>
      </w:r>
      <w:r>
        <w:t>kelést készítette</w:t>
      </w:r>
      <w:r w:rsidR="00C05752">
        <w:t xml:space="preserve"> a török </w:t>
      </w:r>
      <w:r w:rsidR="00E701AD">
        <w:t>makro</w:t>
      </w:r>
      <w:r w:rsidR="00C05752">
        <w:t>gazdaság</w:t>
      </w:r>
      <w:r w:rsidR="0040165C">
        <w:t>, valamint a magyar-török gazdasági kapcsolatok</w:t>
      </w:r>
      <w:r w:rsidR="00C05752">
        <w:t xml:space="preserve"> </w:t>
      </w:r>
      <w:r w:rsidR="00C26F18">
        <w:t>időszerű</w:t>
      </w:r>
      <w:r>
        <w:t xml:space="preserve"> helyzetéről.</w:t>
      </w:r>
      <w:r w:rsidR="00C05752">
        <w:t xml:space="preserve"> </w:t>
      </w:r>
    </w:p>
    <w:p w:rsidR="00F256DF" w:rsidRDefault="00F256DF" w:rsidP="000E1073">
      <w:pPr>
        <w:spacing w:line="276" w:lineRule="auto"/>
      </w:pPr>
    </w:p>
    <w:p w:rsidR="0055049E" w:rsidRDefault="009B0174" w:rsidP="009B0174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Törökország gazdasága</w:t>
      </w:r>
    </w:p>
    <w:p w:rsidR="009B0174" w:rsidRDefault="009B0174" w:rsidP="009B0174">
      <w:pPr>
        <w:spacing w:line="276" w:lineRule="auto"/>
        <w:jc w:val="both"/>
        <w:rPr>
          <w:color w:val="000000"/>
        </w:rPr>
      </w:pP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Az infláció rekord-közeli szinteken tartózkodik, a pénzromlás </w:t>
      </w:r>
      <w:r w:rsidR="00F0287B">
        <w:rPr>
          <w:color w:val="000000"/>
        </w:rPr>
        <w:t xml:space="preserve">októberi </w:t>
      </w:r>
      <w:r w:rsidR="00F0287B" w:rsidRPr="009B0174">
        <w:rPr>
          <w:color w:val="000000"/>
        </w:rPr>
        <w:t>mértéke</w:t>
      </w:r>
      <w:r w:rsidRPr="009B0174">
        <w:rPr>
          <w:color w:val="000000"/>
        </w:rPr>
        <w:t xml:space="preserve"> 11,</w:t>
      </w:r>
      <w:r w:rsidR="00B109C9">
        <w:rPr>
          <w:color w:val="000000"/>
        </w:rPr>
        <w:t>9</w:t>
      </w:r>
      <w:r w:rsidRPr="009B0174">
        <w:rPr>
          <w:color w:val="000000"/>
        </w:rPr>
        <w:t xml:space="preserve"> százalék volt. Ilyen magas inflációt 2008 óta nem mértek Törökországban. A jegybank </w:t>
      </w:r>
      <w:r w:rsidR="00B109C9">
        <w:rPr>
          <w:color w:val="000000"/>
        </w:rPr>
        <w:t>októberben</w:t>
      </w:r>
      <w:r w:rsidRPr="009B0174">
        <w:rPr>
          <w:color w:val="000000"/>
        </w:rPr>
        <w:t xml:space="preserve"> a 2017-es évre vonatkozó </w:t>
      </w:r>
      <w:r w:rsidR="00C26F18" w:rsidRPr="009B0174">
        <w:rPr>
          <w:color w:val="000000"/>
        </w:rPr>
        <w:t>előrejelzését</w:t>
      </w:r>
      <w:r w:rsidRPr="009B0174">
        <w:rPr>
          <w:color w:val="000000"/>
        </w:rPr>
        <w:t xml:space="preserve"> 8</w:t>
      </w:r>
      <w:r w:rsidR="00B109C9">
        <w:rPr>
          <w:color w:val="000000"/>
        </w:rPr>
        <w:t>,7</w:t>
      </w:r>
      <w:r w:rsidRPr="009B0174">
        <w:rPr>
          <w:color w:val="000000"/>
        </w:rPr>
        <w:t xml:space="preserve"> százalékról </w:t>
      </w:r>
      <w:r w:rsidR="00B109C9">
        <w:rPr>
          <w:color w:val="000000"/>
        </w:rPr>
        <w:t>9,8</w:t>
      </w:r>
      <w:r w:rsidRPr="009B0174">
        <w:rPr>
          <w:color w:val="000000"/>
        </w:rPr>
        <w:t xml:space="preserve"> százalékra emelte, míg 2018-ra vonatkozóan 6</w:t>
      </w:r>
      <w:r w:rsidR="00B109C9">
        <w:rPr>
          <w:color w:val="000000"/>
        </w:rPr>
        <w:t>,4</w:t>
      </w:r>
      <w:r w:rsidRPr="009B0174">
        <w:rPr>
          <w:color w:val="000000"/>
        </w:rPr>
        <w:t>-r</w:t>
      </w:r>
      <w:r w:rsidR="00B109C9">
        <w:rPr>
          <w:color w:val="000000"/>
        </w:rPr>
        <w:t>ő</w:t>
      </w:r>
      <w:r w:rsidRPr="009B0174">
        <w:rPr>
          <w:color w:val="000000"/>
        </w:rPr>
        <w:t xml:space="preserve">l </w:t>
      </w:r>
      <w:r w:rsidR="00B109C9">
        <w:rPr>
          <w:color w:val="000000"/>
        </w:rPr>
        <w:t>7</w:t>
      </w:r>
      <w:r w:rsidRPr="009B0174">
        <w:rPr>
          <w:color w:val="000000"/>
        </w:rPr>
        <w:t xml:space="preserve"> százalékra. </w:t>
      </w: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</w:p>
    <w:p w:rsid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Ami a kilátásokat illeti, az EU-török politikai kapcsolatok jelenlegi állása, ill. a vámunióról szóló tárgyalások akadozása – figyelembe véve, hogy Törökország legfontosabb kereskedelmi partnere továbbra is az Európai Unió – kockázati tényezőnek számítanak. A befektetői bizalom helyreállítása, a túlburjánzó bürokratikus akadályok leépítése, ill. a kormányzati döntések végrehajtásának javítása szintén sürgető feladatok a gazdaság teljesítőképességének </w:t>
      </w:r>
      <w:r w:rsidRPr="009B0174">
        <w:rPr>
          <w:color w:val="000000"/>
        </w:rPr>
        <w:lastRenderedPageBreak/>
        <w:t>fenntartásához. Mindezekkel együtt az a tény, hogy a török gazdaság 2016-ban 2,9 százalékos növekedésre volt képes, jól mutatja, hogy – amennyiben valóban sikerül elhárítani a fent említett akadályok többségét – korántsem kell temetni Törökország gazdaságát.</w:t>
      </w:r>
    </w:p>
    <w:p w:rsidR="009B0174" w:rsidRDefault="009B0174" w:rsidP="009B0174">
      <w:pPr>
        <w:spacing w:line="276" w:lineRule="auto"/>
        <w:jc w:val="both"/>
        <w:rPr>
          <w:color w:val="000000"/>
        </w:rPr>
      </w:pPr>
    </w:p>
    <w:p w:rsidR="00E773E2" w:rsidRDefault="009B0174" w:rsidP="00E773E2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Az </w:t>
      </w:r>
      <w:r w:rsidR="00F0287B">
        <w:rPr>
          <w:color w:val="000000"/>
        </w:rPr>
        <w:t xml:space="preserve">Európai Bizottság által </w:t>
      </w:r>
      <w:r w:rsidR="00E773E2">
        <w:rPr>
          <w:color w:val="000000"/>
        </w:rPr>
        <w:t>közzétett</w:t>
      </w:r>
      <w:r w:rsidR="00F0287B">
        <w:rPr>
          <w:color w:val="000000"/>
        </w:rPr>
        <w:t xml:space="preserve"> adatok </w:t>
      </w:r>
      <w:r w:rsidRPr="009B0174">
        <w:rPr>
          <w:color w:val="000000"/>
        </w:rPr>
        <w:t>alapján 201</w:t>
      </w:r>
      <w:r w:rsidR="00F0287B">
        <w:rPr>
          <w:color w:val="000000"/>
        </w:rPr>
        <w:t>7</w:t>
      </w:r>
      <w:r w:rsidRPr="009B0174">
        <w:rPr>
          <w:color w:val="000000"/>
        </w:rPr>
        <w:t>-b</w:t>
      </w:r>
      <w:r w:rsidR="00F0287B">
        <w:rPr>
          <w:color w:val="000000"/>
        </w:rPr>
        <w:t>e</w:t>
      </w:r>
      <w:r w:rsidRPr="009B0174">
        <w:rPr>
          <w:color w:val="000000"/>
        </w:rPr>
        <w:t xml:space="preserve">n Törökország GDP-je </w:t>
      </w:r>
      <w:r w:rsidR="00F0287B">
        <w:rPr>
          <w:color w:val="000000"/>
        </w:rPr>
        <w:t>5,3</w:t>
      </w:r>
      <w:r w:rsidRPr="009B0174">
        <w:rPr>
          <w:color w:val="000000"/>
        </w:rPr>
        <w:t>%-kal növekedett (</w:t>
      </w:r>
      <w:r w:rsidR="00F0287B">
        <w:rPr>
          <w:color w:val="000000"/>
        </w:rPr>
        <w:t>2,3</w:t>
      </w:r>
      <w:r w:rsidRPr="009B0174">
        <w:rPr>
          <w:color w:val="000000"/>
        </w:rPr>
        <w:t>%-kal meghaladva a korábbi becsléseket), a 201</w:t>
      </w:r>
      <w:r w:rsidR="00F0287B">
        <w:rPr>
          <w:color w:val="000000"/>
        </w:rPr>
        <w:t>8</w:t>
      </w:r>
      <w:r w:rsidRPr="009B0174">
        <w:rPr>
          <w:color w:val="000000"/>
        </w:rPr>
        <w:t>-</w:t>
      </w:r>
      <w:r w:rsidR="00F0287B">
        <w:rPr>
          <w:color w:val="000000"/>
        </w:rPr>
        <w:t>a</w:t>
      </w:r>
      <w:r w:rsidRPr="009B0174">
        <w:rPr>
          <w:color w:val="000000"/>
        </w:rPr>
        <w:t xml:space="preserve">s előrejelzés alapján az adatok </w:t>
      </w:r>
      <w:r w:rsidR="00F0287B">
        <w:rPr>
          <w:color w:val="000000"/>
        </w:rPr>
        <w:t>4</w:t>
      </w:r>
      <w:r w:rsidRPr="009B0174">
        <w:rPr>
          <w:color w:val="000000"/>
        </w:rPr>
        <w:t>%-os gazdasági növekedést jeleznek</w:t>
      </w:r>
      <w:r w:rsidR="00F0287B">
        <w:rPr>
          <w:color w:val="000000"/>
        </w:rPr>
        <w:t xml:space="preserve"> </w:t>
      </w:r>
      <w:r w:rsidR="00F0287B" w:rsidRPr="009B0174">
        <w:rPr>
          <w:color w:val="000000"/>
        </w:rPr>
        <w:t>(</w:t>
      </w:r>
      <w:r w:rsidR="00F0287B">
        <w:rPr>
          <w:color w:val="000000"/>
        </w:rPr>
        <w:t>0,7</w:t>
      </w:r>
      <w:r w:rsidR="00F0287B" w:rsidRPr="009B0174">
        <w:rPr>
          <w:color w:val="000000"/>
        </w:rPr>
        <w:t>%-kal meghaladva a korábbi becsléseket)</w:t>
      </w:r>
      <w:r w:rsidRPr="009B0174">
        <w:rPr>
          <w:color w:val="000000"/>
        </w:rPr>
        <w:t xml:space="preserve">. </w:t>
      </w:r>
      <w:r w:rsidR="00F0287B">
        <w:rPr>
          <w:color w:val="000000"/>
        </w:rPr>
        <w:t>A munkanélküliségi ráta 2017 augusztusáb</w:t>
      </w:r>
      <w:r w:rsidRPr="009B0174">
        <w:rPr>
          <w:color w:val="000000"/>
        </w:rPr>
        <w:t>an 10,</w:t>
      </w:r>
      <w:r w:rsidR="00F0287B">
        <w:rPr>
          <w:color w:val="000000"/>
        </w:rPr>
        <w:t>6</w:t>
      </w:r>
      <w:r w:rsidRPr="009B0174">
        <w:rPr>
          <w:color w:val="000000"/>
        </w:rPr>
        <w:t>%s volt</w:t>
      </w:r>
      <w:r w:rsidR="00E773E2">
        <w:rPr>
          <w:color w:val="000000"/>
        </w:rPr>
        <w:t xml:space="preserve">. </w:t>
      </w:r>
      <w:r w:rsidR="00E773E2" w:rsidRPr="009B0174">
        <w:rPr>
          <w:color w:val="000000"/>
        </w:rPr>
        <w:t>A foglalkoztatás 18,3 százalékát a mezőgazdaság, 19,8 százalékát az ipar, 6,5 százalékát az építőipar, 55,4 százalékát pedig a szolgáltat</w:t>
      </w:r>
      <w:r w:rsidR="00E773E2">
        <w:rPr>
          <w:color w:val="000000"/>
        </w:rPr>
        <w:t>ások adták.</w:t>
      </w:r>
    </w:p>
    <w:p w:rsidR="00E701AD" w:rsidRDefault="00E701AD" w:rsidP="00E773E2">
      <w:pPr>
        <w:spacing w:line="276" w:lineRule="auto"/>
        <w:jc w:val="both"/>
        <w:rPr>
          <w:color w:val="000000"/>
        </w:rPr>
      </w:pP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Az IMF adatai szerint az ország népessége 2016-ban </w:t>
      </w:r>
      <w:r w:rsidR="00C26F09">
        <w:rPr>
          <w:color w:val="000000"/>
        </w:rPr>
        <w:t xml:space="preserve">elérte a </w:t>
      </w:r>
      <w:r w:rsidRPr="009B0174">
        <w:rPr>
          <w:color w:val="000000"/>
        </w:rPr>
        <w:t>79,81</w:t>
      </w:r>
      <w:r w:rsidR="00C26F09">
        <w:rPr>
          <w:color w:val="000000"/>
        </w:rPr>
        <w:t xml:space="preserve"> </w:t>
      </w:r>
      <w:r w:rsidRPr="009B0174">
        <w:rPr>
          <w:color w:val="000000"/>
        </w:rPr>
        <w:t>millió fő</w:t>
      </w:r>
      <w:r w:rsidR="00C26F09">
        <w:rPr>
          <w:color w:val="000000"/>
        </w:rPr>
        <w:t xml:space="preserve">t és becslések szerint </w:t>
      </w:r>
      <w:r w:rsidRPr="009B0174">
        <w:rPr>
          <w:color w:val="000000"/>
        </w:rPr>
        <w:t>2017</w:t>
      </w:r>
      <w:r w:rsidR="00C26F09">
        <w:rPr>
          <w:color w:val="000000"/>
        </w:rPr>
        <w:t xml:space="preserve"> végén </w:t>
      </w:r>
      <w:r w:rsidRPr="009B0174">
        <w:rPr>
          <w:color w:val="000000"/>
        </w:rPr>
        <w:t xml:space="preserve">80,77 millió főre </w:t>
      </w:r>
      <w:r w:rsidR="00C26F09">
        <w:rPr>
          <w:color w:val="000000"/>
        </w:rPr>
        <w:t>emelkedik</w:t>
      </w:r>
      <w:r w:rsidRPr="009B0174">
        <w:rPr>
          <w:color w:val="000000"/>
        </w:rPr>
        <w:t xml:space="preserve">. Az ország államadóssága 2016-ban elérte a GDP 29,1%-át, </w:t>
      </w:r>
      <w:r w:rsidR="00C26F09">
        <w:rPr>
          <w:color w:val="000000"/>
        </w:rPr>
        <w:t>mely</w:t>
      </w:r>
      <w:r w:rsidRPr="009B0174">
        <w:rPr>
          <w:color w:val="000000"/>
        </w:rPr>
        <w:t xml:space="preserve"> 2017</w:t>
      </w:r>
      <w:r w:rsidR="00C26F09">
        <w:rPr>
          <w:color w:val="000000"/>
        </w:rPr>
        <w:t xml:space="preserve"> végére meghaladhatja a </w:t>
      </w:r>
      <w:r w:rsidRPr="009B0174">
        <w:rPr>
          <w:color w:val="000000"/>
        </w:rPr>
        <w:t>29,9</w:t>
      </w:r>
      <w:r w:rsidR="00C26F09">
        <w:rPr>
          <w:color w:val="000000"/>
        </w:rPr>
        <w:t xml:space="preserve"> százalékot</w:t>
      </w:r>
      <w:r w:rsidRPr="009B0174">
        <w:rPr>
          <w:color w:val="000000"/>
        </w:rPr>
        <w:t xml:space="preserve">. </w:t>
      </w:r>
      <w:r w:rsidR="00B109C9">
        <w:rPr>
          <w:color w:val="000000"/>
        </w:rPr>
        <w:t xml:space="preserve">Az ország </w:t>
      </w:r>
      <w:r w:rsidR="00B23F9E">
        <w:rPr>
          <w:color w:val="000000"/>
        </w:rPr>
        <w:t xml:space="preserve">2017. </w:t>
      </w:r>
      <w:r w:rsidR="00B109C9">
        <w:rPr>
          <w:color w:val="000000"/>
        </w:rPr>
        <w:t xml:space="preserve">szeptemberben mért költségvetési hiánya 4,5 milliárd USD, </w:t>
      </w:r>
      <w:r w:rsidR="00C26F09">
        <w:rPr>
          <w:color w:val="000000"/>
        </w:rPr>
        <w:t>a</w:t>
      </w:r>
      <w:r w:rsidR="00B109C9">
        <w:rPr>
          <w:color w:val="000000"/>
        </w:rPr>
        <w:t>mely 2,9 milliárd</w:t>
      </w:r>
      <w:r w:rsidR="005624F3">
        <w:rPr>
          <w:color w:val="000000"/>
        </w:rPr>
        <w:t xml:space="preserve"> dollárral meghaladja a</w:t>
      </w:r>
      <w:r w:rsidR="00C26F09">
        <w:rPr>
          <w:color w:val="000000"/>
        </w:rPr>
        <w:t xml:space="preserve"> 2016 azonos időszakában mért </w:t>
      </w:r>
      <w:r w:rsidR="005624F3">
        <w:rPr>
          <w:color w:val="000000"/>
        </w:rPr>
        <w:t>hiány</w:t>
      </w:r>
      <w:r w:rsidR="00C26F09">
        <w:rPr>
          <w:color w:val="000000"/>
        </w:rPr>
        <w:t>t</w:t>
      </w:r>
      <w:r w:rsidR="005624F3">
        <w:rPr>
          <w:color w:val="000000"/>
        </w:rPr>
        <w:t xml:space="preserve">. </w:t>
      </w: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</w:p>
    <w:p w:rsid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>A külföldi beruházások mértéke 2016-ban 27%-al csökkent</w:t>
      </w:r>
      <w:r w:rsidR="005B6328">
        <w:rPr>
          <w:color w:val="000000"/>
        </w:rPr>
        <w:t>, amelyet</w:t>
      </w:r>
      <w:r w:rsidRPr="009B0174">
        <w:rPr>
          <w:color w:val="000000"/>
        </w:rPr>
        <w:t xml:space="preserve"> a török kormány egy meghirdetett gazdasági csomaggal igyekszik ellensúlyozni. A török állami bankokat – köztük a török </w:t>
      </w:r>
      <w:proofErr w:type="spellStart"/>
      <w:r w:rsidRPr="009B0174">
        <w:rPr>
          <w:color w:val="000000"/>
        </w:rPr>
        <w:t>Eximbankot</w:t>
      </w:r>
      <w:proofErr w:type="spellEnd"/>
      <w:r w:rsidRPr="009B0174">
        <w:rPr>
          <w:color w:val="000000"/>
        </w:rPr>
        <w:t xml:space="preserve"> – pedig széles körű exporttámogatási hitelek kibocsátására ösztökéli a kormány.</w:t>
      </w:r>
    </w:p>
    <w:p w:rsidR="00B109C9" w:rsidRPr="009B0174" w:rsidRDefault="00B109C9" w:rsidP="009B0174">
      <w:pPr>
        <w:spacing w:line="276" w:lineRule="auto"/>
        <w:jc w:val="both"/>
        <w:rPr>
          <w:color w:val="000000"/>
        </w:rPr>
      </w:pPr>
    </w:p>
    <w:p w:rsid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>A török Befektetési Hatóság (ISPAT) adatai alapján 2016-ban Törökországba mintegy 12,3 milliárd dollárnyi működő tőke áramlott, amely 30,1%-os csökkenést (5,3 milliárd dollár) jelent előző évhez viszonyítva (2016: 17,6 milliárd dollár).</w:t>
      </w:r>
    </w:p>
    <w:p w:rsidR="00B109C9" w:rsidRPr="009B0174" w:rsidRDefault="00B109C9" w:rsidP="009B0174">
      <w:pPr>
        <w:spacing w:line="276" w:lineRule="auto"/>
        <w:jc w:val="both"/>
        <w:rPr>
          <w:color w:val="000000"/>
        </w:rPr>
      </w:pP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 török Külgazdasági Kapcsolatok Tanácsa (DEIK) által publikált 2016-os adatok alapján a török vállalatok által kihelyezett működő tőke 2,8 milliárd dollár volt, amely 16%-os növekedés (400 millió dollár) jelent előző évhez viszonyítva (2015: 2,4 milliárd dollár). </w:t>
      </w: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</w:p>
    <w:p w:rsidR="009B0174" w:rsidRPr="009B0174" w:rsidRDefault="009B0174" w:rsidP="009B0174">
      <w:pPr>
        <w:spacing w:line="276" w:lineRule="auto"/>
        <w:jc w:val="both"/>
        <w:rPr>
          <w:color w:val="000000"/>
        </w:rPr>
      </w:pPr>
      <w:r w:rsidRPr="009B0174">
        <w:rPr>
          <w:color w:val="000000"/>
        </w:rPr>
        <w:t xml:space="preserve">A török Kulturális és Idegenforgalmi Minisztérium 2016-os évre kiadott statisztikai adatai </w:t>
      </w:r>
      <w:proofErr w:type="gramStart"/>
      <w:r w:rsidRPr="009B0174">
        <w:rPr>
          <w:color w:val="000000"/>
        </w:rPr>
        <w:t>alapján</w:t>
      </w:r>
      <w:proofErr w:type="gramEnd"/>
      <w:r w:rsidRPr="009B0174">
        <w:rPr>
          <w:color w:val="000000"/>
        </w:rPr>
        <w:t xml:space="preserve">, 25,4 millió külföldi turista (ebből 64 737 fő magyar) látogatott el Törökországba, amely 30%-os csökkenést jelent az előző évhez képest. (2015-ben 36,3 millió turista, melyből 140 197 fő magyar). 2016-ban Törökország </w:t>
      </w:r>
      <w:r w:rsidR="007535E7">
        <w:rPr>
          <w:color w:val="000000"/>
        </w:rPr>
        <w:t>turizmusból származó</w:t>
      </w:r>
      <w:r w:rsidRPr="009B0174">
        <w:rPr>
          <w:color w:val="000000"/>
        </w:rPr>
        <w:t xml:space="preserve"> bevétele </w:t>
      </w:r>
      <w:r w:rsidR="007535E7">
        <w:rPr>
          <w:color w:val="000000"/>
        </w:rPr>
        <w:t xml:space="preserve">meghaladta a </w:t>
      </w:r>
      <w:r w:rsidRPr="009B0174">
        <w:rPr>
          <w:color w:val="000000"/>
        </w:rPr>
        <w:t>22,1 milliárd dollár</w:t>
      </w:r>
      <w:r w:rsidR="007535E7">
        <w:rPr>
          <w:color w:val="000000"/>
        </w:rPr>
        <w:t xml:space="preserve">t, </w:t>
      </w:r>
      <w:r w:rsidRPr="009B0174">
        <w:rPr>
          <w:color w:val="000000"/>
        </w:rPr>
        <w:t xml:space="preserve">amely 29,7%-os csökkenést jelent </w:t>
      </w:r>
      <w:r w:rsidR="007535E7">
        <w:rPr>
          <w:color w:val="000000"/>
        </w:rPr>
        <w:t xml:space="preserve">a </w:t>
      </w:r>
      <w:r w:rsidRPr="009B0174">
        <w:rPr>
          <w:color w:val="000000"/>
        </w:rPr>
        <w:t>2015-ben elért bevételhez képest.</w:t>
      </w:r>
      <w:r w:rsidR="007535E7">
        <w:rPr>
          <w:color w:val="000000"/>
        </w:rPr>
        <w:t xml:space="preserve"> Az idei év azonban optimizmusra adhat okot a turisztikai szektorban, mivel 2017 harmadik negyedévében mért eredmény (11,3 milliárd USD) 37,6 százalékkal meghaladja a 2016 azonos időszakából származó bevételt. </w:t>
      </w:r>
    </w:p>
    <w:p w:rsidR="00A3124B" w:rsidRDefault="00A3124B" w:rsidP="000E1073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C947B1" w:rsidRDefault="00C947B1" w:rsidP="00C947B1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 w:rsidRPr="00C947B1">
        <w:rPr>
          <w:rFonts w:eastAsia="Calibri"/>
          <w:b/>
          <w:u w:val="single"/>
          <w:lang w:eastAsia="en-US"/>
        </w:rPr>
        <w:lastRenderedPageBreak/>
        <w:t>Török</w:t>
      </w:r>
      <w:r>
        <w:rPr>
          <w:rFonts w:eastAsia="Calibri"/>
          <w:b/>
          <w:u w:val="single"/>
          <w:lang w:eastAsia="en-US"/>
        </w:rPr>
        <w:t>ország pénzügyi helyzete, a török</w:t>
      </w:r>
      <w:r w:rsidRPr="00C947B1">
        <w:rPr>
          <w:rFonts w:eastAsia="Calibri"/>
          <w:b/>
          <w:u w:val="single"/>
          <w:lang w:eastAsia="en-US"/>
        </w:rPr>
        <w:t xml:space="preserve"> líra</w:t>
      </w:r>
      <w:r>
        <w:rPr>
          <w:rFonts w:eastAsia="Calibri"/>
          <w:b/>
          <w:u w:val="single"/>
          <w:lang w:eastAsia="en-US"/>
        </w:rPr>
        <w:t xml:space="preserve"> alakulása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>Az elmúlt hetekben történelmi mélypontra gyengült a török líra a dollárral szemben, az államkötvények hozamai pedig jelentősen emelkedtek múlt hét szerdán a politikai feszültségek, illetve azon aggodalmak miatt, hogy a jegybank képes lesz-e lassítani a pénzromlás ütemét.</w:t>
      </w:r>
    </w:p>
    <w:p w:rsid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>Jelenleg (2107. november 28-án) a nemzetközi bankközi piacon egy dollárért 3,92 lírát kérnek, ami</w:t>
      </w:r>
      <w:r w:rsidR="00C26F18">
        <w:rPr>
          <w:rFonts w:eastAsia="Calibri"/>
          <w:lang w:eastAsia="en-US"/>
        </w:rPr>
        <w:t xml:space="preserve"> alapján</w:t>
      </w:r>
      <w:r w:rsidRPr="00C947B1">
        <w:rPr>
          <w:rFonts w:eastAsia="Calibri"/>
          <w:lang w:eastAsia="en-US"/>
        </w:rPr>
        <w:t xml:space="preserve"> a múlt heti </w:t>
      </w:r>
      <w:proofErr w:type="spellStart"/>
      <w:r w:rsidRPr="00C947B1">
        <w:rPr>
          <w:rFonts w:eastAsia="Calibri"/>
          <w:lang w:eastAsia="en-US"/>
        </w:rPr>
        <w:t>zárószinthez</w:t>
      </w:r>
      <w:proofErr w:type="spellEnd"/>
      <w:r w:rsidRPr="00C947B1">
        <w:rPr>
          <w:rFonts w:eastAsia="Calibri"/>
          <w:lang w:eastAsia="en-US"/>
        </w:rPr>
        <w:t xml:space="preserve"> képest 0,27 százalékkal drágult az amerikai deviza. A török fizetőeszköz 2107. november 22-én kora délelőtt jutott rekordmélységbe, amikor is a dollárt 3,9825 lírán jegyezték.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</w:p>
    <w:p w:rsid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>A líra hírtelen romlásának következményeképpen, a tízéves államkötvény hozama 13,52 százalékra emelkedett 12,68 százalékról. Az isztambuli tőzsde irányadó indexe, a BIST 100 0,63 százalékos mínuszban, 104 625,05 pontra esett, és a napi minimumán 0,76 százalékos veszteséget mutatott.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 xml:space="preserve">A török lírára nyomást gyakorol, hogy egyre inkább éleződik a feszültség Törökország és az Egyesült Államok között. December elején kezdődik meg az Egyesült Államokban </w:t>
      </w:r>
      <w:proofErr w:type="spellStart"/>
      <w:r w:rsidRPr="00C947B1">
        <w:rPr>
          <w:rFonts w:eastAsia="Calibri"/>
          <w:lang w:eastAsia="en-US"/>
        </w:rPr>
        <w:t>Reza</w:t>
      </w:r>
      <w:proofErr w:type="spellEnd"/>
      <w:r w:rsidRPr="00C947B1">
        <w:rPr>
          <w:rFonts w:eastAsia="Calibri"/>
          <w:lang w:eastAsia="en-US"/>
        </w:rPr>
        <w:t xml:space="preserve"> </w:t>
      </w:r>
      <w:proofErr w:type="spellStart"/>
      <w:r w:rsidRPr="00C947B1">
        <w:rPr>
          <w:rFonts w:eastAsia="Calibri"/>
          <w:lang w:eastAsia="en-US"/>
        </w:rPr>
        <w:t>Zarrabb</w:t>
      </w:r>
      <w:proofErr w:type="spellEnd"/>
      <w:r w:rsidRPr="00C947B1">
        <w:rPr>
          <w:rFonts w:eastAsia="Calibri"/>
          <w:lang w:eastAsia="en-US"/>
        </w:rPr>
        <w:t>, az Iránt sújtó amerikai embargó megsértésével vádolt török-iráni üzletember pere.</w:t>
      </w:r>
      <w:r w:rsidR="0040165C">
        <w:rPr>
          <w:rFonts w:eastAsia="Calibri"/>
          <w:lang w:eastAsia="en-US"/>
        </w:rPr>
        <w:t xml:space="preserve"> </w:t>
      </w:r>
      <w:r w:rsidRPr="00C947B1">
        <w:rPr>
          <w:rFonts w:eastAsia="Calibri"/>
          <w:lang w:eastAsia="en-US"/>
        </w:rPr>
        <w:t xml:space="preserve">Az amerikai hatóságok azt állítják, hogy </w:t>
      </w:r>
      <w:proofErr w:type="spellStart"/>
      <w:r w:rsidRPr="00C947B1">
        <w:rPr>
          <w:rFonts w:eastAsia="Calibri"/>
          <w:lang w:eastAsia="en-US"/>
        </w:rPr>
        <w:t>Reza</w:t>
      </w:r>
      <w:proofErr w:type="spellEnd"/>
      <w:r w:rsidRPr="00C947B1">
        <w:rPr>
          <w:rFonts w:eastAsia="Calibri"/>
          <w:lang w:eastAsia="en-US"/>
        </w:rPr>
        <w:t xml:space="preserve"> </w:t>
      </w:r>
      <w:proofErr w:type="spellStart"/>
      <w:r w:rsidRPr="00C947B1">
        <w:rPr>
          <w:rFonts w:eastAsia="Calibri"/>
          <w:lang w:eastAsia="en-US"/>
        </w:rPr>
        <w:t>Zarrab</w:t>
      </w:r>
      <w:proofErr w:type="spellEnd"/>
      <w:r w:rsidRPr="00C947B1">
        <w:rPr>
          <w:rFonts w:eastAsia="Calibri"/>
          <w:lang w:eastAsia="en-US"/>
        </w:rPr>
        <w:t xml:space="preserve"> és feltételezett cinkosa, </w:t>
      </w:r>
      <w:proofErr w:type="spellStart"/>
      <w:r w:rsidRPr="00C947B1">
        <w:rPr>
          <w:rFonts w:eastAsia="Calibri"/>
          <w:lang w:eastAsia="en-US"/>
        </w:rPr>
        <w:t>Mehmet</w:t>
      </w:r>
      <w:proofErr w:type="spellEnd"/>
      <w:r w:rsidRPr="00C947B1">
        <w:rPr>
          <w:rFonts w:eastAsia="Calibri"/>
          <w:lang w:eastAsia="en-US"/>
        </w:rPr>
        <w:t xml:space="preserve"> </w:t>
      </w:r>
      <w:proofErr w:type="spellStart"/>
      <w:r w:rsidRPr="00C947B1">
        <w:rPr>
          <w:rFonts w:eastAsia="Calibri"/>
          <w:lang w:eastAsia="en-US"/>
        </w:rPr>
        <w:t>Hakan</w:t>
      </w:r>
      <w:proofErr w:type="spellEnd"/>
      <w:r w:rsidRPr="00C947B1">
        <w:rPr>
          <w:rFonts w:eastAsia="Calibri"/>
          <w:lang w:eastAsia="en-US"/>
        </w:rPr>
        <w:t xml:space="preserve"> Atilla, a Halk Bank török állami pénzintézet egyik igazgatóhelyettese több </w:t>
      </w:r>
      <w:proofErr w:type="gramStart"/>
      <w:r w:rsidRPr="00C947B1">
        <w:rPr>
          <w:rFonts w:eastAsia="Calibri"/>
          <w:lang w:eastAsia="en-US"/>
        </w:rPr>
        <w:t>száz millió</w:t>
      </w:r>
      <w:proofErr w:type="gramEnd"/>
      <w:r w:rsidRPr="00C947B1">
        <w:rPr>
          <w:rFonts w:eastAsia="Calibri"/>
          <w:lang w:eastAsia="en-US"/>
        </w:rPr>
        <w:t xml:space="preserve"> dollár értékben hajtott végre szankciókat sértő tranzakciókat amerikai bankokon keresztül az iráni kormány és más iráni szervezetek számára.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 xml:space="preserve">Az ankarai kormány "Törökország elleni nyilvánvaló összeesküvésnek" minősítette a pert, amely szerinte alaptalan. </w:t>
      </w:r>
      <w:proofErr w:type="spellStart"/>
      <w:r w:rsidRPr="00C947B1">
        <w:rPr>
          <w:rFonts w:eastAsia="Calibri"/>
          <w:lang w:eastAsia="en-US"/>
        </w:rPr>
        <w:t>Mehmet</w:t>
      </w:r>
      <w:proofErr w:type="spellEnd"/>
      <w:r w:rsidRPr="00C947B1">
        <w:rPr>
          <w:rFonts w:eastAsia="Calibri"/>
          <w:lang w:eastAsia="en-US"/>
        </w:rPr>
        <w:t xml:space="preserve"> </w:t>
      </w:r>
      <w:proofErr w:type="spellStart"/>
      <w:r w:rsidRPr="00C947B1">
        <w:rPr>
          <w:rFonts w:eastAsia="Calibri"/>
          <w:lang w:eastAsia="en-US"/>
        </w:rPr>
        <w:t>Simsek</w:t>
      </w:r>
      <w:proofErr w:type="spellEnd"/>
      <w:r w:rsidRPr="00C947B1">
        <w:rPr>
          <w:rFonts w:eastAsia="Calibri"/>
          <w:lang w:eastAsia="en-US"/>
        </w:rPr>
        <w:t xml:space="preserve"> török miniszterelnök-helyettes </w:t>
      </w:r>
      <w:r w:rsidR="0040165C">
        <w:rPr>
          <w:rFonts w:eastAsia="Calibri"/>
          <w:lang w:eastAsia="en-US"/>
        </w:rPr>
        <w:t>a napokban</w:t>
      </w:r>
      <w:r w:rsidRPr="00C947B1">
        <w:rPr>
          <w:rFonts w:eastAsia="Calibri"/>
          <w:lang w:eastAsia="en-US"/>
        </w:rPr>
        <w:t xml:space="preserve"> megpróbálta "felbeszélni" a líra árfolyamát egy befektetők számára tartott isztambuli konferencián, mondván, hogy "átmeneti" a két ország közötti viszálykodás.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 xml:space="preserve">"Komoly ingadozások voltak a közelmúltban a török piacokon, ezt nyugodtan és helyesen kell értelmezni, nem kell </w:t>
      </w:r>
      <w:proofErr w:type="spellStart"/>
      <w:r w:rsidRPr="00C947B1">
        <w:rPr>
          <w:rFonts w:eastAsia="Calibri"/>
          <w:lang w:eastAsia="en-US"/>
        </w:rPr>
        <w:t>pánikolni</w:t>
      </w:r>
      <w:proofErr w:type="spellEnd"/>
      <w:r w:rsidRPr="00C947B1">
        <w:rPr>
          <w:rFonts w:eastAsia="Calibri"/>
          <w:lang w:eastAsia="en-US"/>
        </w:rPr>
        <w:t xml:space="preserve">. Ezek a problémák az Egyesült Államokkal, a Nyugattal, átmenetiek" - mondta </w:t>
      </w:r>
      <w:proofErr w:type="spellStart"/>
      <w:r w:rsidRPr="00C947B1">
        <w:rPr>
          <w:rFonts w:eastAsia="Calibri"/>
          <w:lang w:eastAsia="en-US"/>
        </w:rPr>
        <w:t>Simsek</w:t>
      </w:r>
      <w:proofErr w:type="spellEnd"/>
      <w:r w:rsidRPr="00C947B1">
        <w:rPr>
          <w:rFonts w:eastAsia="Calibri"/>
          <w:lang w:eastAsia="en-US"/>
        </w:rPr>
        <w:t>.</w:t>
      </w:r>
    </w:p>
    <w:p w:rsidR="00C947B1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 xml:space="preserve">A külföldi szakmai, ill. pénzügyi befektetőket azonban joggal aggasztja az is, hogy a török </w:t>
      </w:r>
      <w:proofErr w:type="gramStart"/>
      <w:r w:rsidRPr="00C947B1">
        <w:rPr>
          <w:rFonts w:eastAsia="Calibri"/>
          <w:lang w:eastAsia="en-US"/>
        </w:rPr>
        <w:t>államfő nyomást</w:t>
      </w:r>
      <w:proofErr w:type="gramEnd"/>
      <w:r w:rsidRPr="00C947B1">
        <w:rPr>
          <w:rFonts w:eastAsia="Calibri"/>
          <w:lang w:eastAsia="en-US"/>
        </w:rPr>
        <w:t xml:space="preserve"> gyakorol a magas infláció ellen küzdő jegybankra. Bár a török gazdaság több mint 5 százalékkal nőtt éves összevetésben a második negyedévben, az éves infláció októberben 11,9 százalékra rúgott, a líra árfolyama pedig folyamatosan gyengül.</w:t>
      </w:r>
    </w:p>
    <w:p w:rsidR="007472BE" w:rsidRPr="00C947B1" w:rsidRDefault="00C947B1" w:rsidP="00C947B1">
      <w:pPr>
        <w:spacing w:line="276" w:lineRule="auto"/>
        <w:jc w:val="both"/>
        <w:rPr>
          <w:rFonts w:eastAsia="Calibri"/>
          <w:lang w:eastAsia="en-US"/>
        </w:rPr>
      </w:pPr>
      <w:r w:rsidRPr="00C947B1">
        <w:rPr>
          <w:rFonts w:eastAsia="Calibri"/>
          <w:lang w:eastAsia="en-US"/>
        </w:rPr>
        <w:t xml:space="preserve">Csak szeptember óta a dollárhoz képest 17 százalékot veszített értékéből a török líra. Recep Tayyip Erdogan török államfő múlt hét pénteken ismét kikelt a jegybank ellen, azt hangoztatva, hogy csökkentenie kellene a kamatokat, mert ezzel bátorítaná a hitelezést, alátámasztva a beruházások és a fogyasztás növekedését. A török jegybank az egynapos jegybanki hitel kamatát 9,25 százalékon, az egynapos jegybanki betét kamatát 7,25 százalékon, az egyhetes </w:t>
      </w:r>
      <w:proofErr w:type="spellStart"/>
      <w:r w:rsidRPr="00C947B1">
        <w:rPr>
          <w:rFonts w:eastAsia="Calibri"/>
          <w:lang w:eastAsia="en-US"/>
        </w:rPr>
        <w:t>repokamatlábat</w:t>
      </w:r>
      <w:proofErr w:type="spellEnd"/>
      <w:r w:rsidRPr="00C947B1">
        <w:rPr>
          <w:rFonts w:eastAsia="Calibri"/>
          <w:lang w:eastAsia="en-US"/>
        </w:rPr>
        <w:t xml:space="preserve"> pedig 8,00 százalékon tartja.</w:t>
      </w:r>
    </w:p>
    <w:p w:rsidR="007472BE" w:rsidRDefault="007472BE" w:rsidP="000E1073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473D11" w:rsidRPr="00AA375F" w:rsidRDefault="0040165C" w:rsidP="000E1073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Magyar-török k</w:t>
      </w:r>
      <w:r w:rsidR="00473D11" w:rsidRPr="00AA375F">
        <w:rPr>
          <w:rFonts w:eastAsia="Calibri"/>
          <w:b/>
          <w:u w:val="single"/>
          <w:lang w:eastAsia="en-US"/>
        </w:rPr>
        <w:t>étoldalú kereskedelmi kapcsolatok</w:t>
      </w:r>
    </w:p>
    <w:p w:rsidR="00B21033" w:rsidRDefault="00F075BD" w:rsidP="000E1073">
      <w:pPr>
        <w:spacing w:line="276" w:lineRule="auto"/>
        <w:jc w:val="both"/>
      </w:pPr>
      <w:r>
        <w:rPr>
          <w:b/>
        </w:rPr>
        <w:t>Törökország 2016</w:t>
      </w:r>
      <w:r w:rsidR="00B21033" w:rsidRPr="00AA375F">
        <w:rPr>
          <w:b/>
        </w:rPr>
        <w:t>-b</w:t>
      </w:r>
      <w:r>
        <w:rPr>
          <w:b/>
        </w:rPr>
        <w:t>a</w:t>
      </w:r>
      <w:r w:rsidR="00B21033" w:rsidRPr="00AA375F">
        <w:rPr>
          <w:b/>
        </w:rPr>
        <w:t>n Magyarország 1</w:t>
      </w:r>
      <w:r>
        <w:rPr>
          <w:b/>
        </w:rPr>
        <w:t>7</w:t>
      </w:r>
      <w:r w:rsidR="00B21033" w:rsidRPr="00AA375F">
        <w:rPr>
          <w:b/>
        </w:rPr>
        <w:t>. kereskedelmi partnere volt</w:t>
      </w:r>
      <w:r w:rsidR="00B21033" w:rsidRPr="00AA375F">
        <w:t>, részaránya a teljes magyar külkereskedelemben 1,4</w:t>
      </w:r>
      <w:r>
        <w:t>1</w:t>
      </w:r>
      <w:r w:rsidR="00B21033" w:rsidRPr="00AA375F">
        <w:t xml:space="preserve">%. Exportunkban </w:t>
      </w:r>
      <w:r>
        <w:t>1,92</w:t>
      </w:r>
      <w:r w:rsidR="00B21033" w:rsidRPr="00AA375F">
        <w:t>%-os súllyal a 1</w:t>
      </w:r>
      <w:r>
        <w:t>4</w:t>
      </w:r>
      <w:proofErr w:type="gramStart"/>
      <w:r w:rsidR="00B21033" w:rsidRPr="00AA375F">
        <w:t>.,</w:t>
      </w:r>
      <w:proofErr w:type="gramEnd"/>
      <w:r w:rsidR="00B21033" w:rsidRPr="00AA375F">
        <w:t xml:space="preserve"> míg az importunkban 0,8</w:t>
      </w:r>
      <w:r w:rsidR="007472BE">
        <w:t>3</w:t>
      </w:r>
      <w:r w:rsidR="00B21033" w:rsidRPr="00AA375F">
        <w:t xml:space="preserve">%-os részaránnyal a 21. helyet foglalta el. </w:t>
      </w:r>
    </w:p>
    <w:p w:rsidR="007472BE" w:rsidRPr="00AA375F" w:rsidRDefault="007472BE" w:rsidP="000E1073">
      <w:pPr>
        <w:spacing w:line="276" w:lineRule="auto"/>
        <w:jc w:val="both"/>
      </w:pPr>
    </w:p>
    <w:p w:rsidR="00A331E2" w:rsidRDefault="00B21033" w:rsidP="000E1073">
      <w:pPr>
        <w:spacing w:line="276" w:lineRule="auto"/>
        <w:jc w:val="both"/>
        <w:rPr>
          <w:b/>
        </w:rPr>
      </w:pPr>
      <w:r w:rsidRPr="00AA375F">
        <w:rPr>
          <w:b/>
        </w:rPr>
        <w:t>A kétoldalú áruforgalom 201</w:t>
      </w:r>
      <w:r w:rsidR="009D0283">
        <w:rPr>
          <w:b/>
        </w:rPr>
        <w:t>7 első nyolc hónapjában mért</w:t>
      </w:r>
      <w:r w:rsidRPr="00AA375F">
        <w:rPr>
          <w:b/>
        </w:rPr>
        <w:t xml:space="preserve"> </w:t>
      </w:r>
      <w:r w:rsidR="009D0283">
        <w:rPr>
          <w:b/>
        </w:rPr>
        <w:t xml:space="preserve">- </w:t>
      </w:r>
      <w:r w:rsidRPr="00AA375F">
        <w:rPr>
          <w:b/>
        </w:rPr>
        <w:t>euróban számított</w:t>
      </w:r>
      <w:r w:rsidR="009D0283">
        <w:rPr>
          <w:b/>
        </w:rPr>
        <w:t xml:space="preserve"> -</w:t>
      </w:r>
      <w:r w:rsidRPr="00AA375F">
        <w:rPr>
          <w:b/>
        </w:rPr>
        <w:t xml:space="preserve"> adatok alapján 1</w:t>
      </w:r>
      <w:r w:rsidR="009D0283">
        <w:rPr>
          <w:b/>
        </w:rPr>
        <w:t>3</w:t>
      </w:r>
      <w:r w:rsidRPr="00AA375F">
        <w:rPr>
          <w:b/>
        </w:rPr>
        <w:t>,</w:t>
      </w:r>
      <w:r w:rsidR="009D0283">
        <w:rPr>
          <w:b/>
        </w:rPr>
        <w:t>7</w:t>
      </w:r>
      <w:r w:rsidRPr="00AA375F">
        <w:rPr>
          <w:b/>
        </w:rPr>
        <w:t xml:space="preserve">%-kal, </w:t>
      </w:r>
      <w:r w:rsidR="009D0283">
        <w:rPr>
          <w:b/>
        </w:rPr>
        <w:t>1</w:t>
      </w:r>
      <w:r w:rsidRPr="00AA375F">
        <w:rPr>
          <w:b/>
        </w:rPr>
        <w:t>,</w:t>
      </w:r>
      <w:r w:rsidR="009D0283">
        <w:rPr>
          <w:b/>
        </w:rPr>
        <w:t>7</w:t>
      </w:r>
      <w:r w:rsidRPr="00AA375F">
        <w:rPr>
          <w:b/>
        </w:rPr>
        <w:t xml:space="preserve"> milliárd euróra </w:t>
      </w:r>
      <w:r w:rsidRPr="000E1073">
        <w:rPr>
          <w:b/>
        </w:rPr>
        <w:t>emelkedett</w:t>
      </w:r>
      <w:r w:rsidR="00A331E2" w:rsidRPr="000E1073">
        <w:rPr>
          <w:b/>
        </w:rPr>
        <w:t xml:space="preserve">, </w:t>
      </w:r>
      <w:r w:rsidR="009D0283">
        <w:rPr>
          <w:b/>
        </w:rPr>
        <w:t>a 2016</w:t>
      </w:r>
      <w:r w:rsidR="00A331E2" w:rsidRPr="000E1073">
        <w:rPr>
          <w:b/>
        </w:rPr>
        <w:t xml:space="preserve"> első </w:t>
      </w:r>
      <w:r w:rsidR="009D0283">
        <w:rPr>
          <w:b/>
        </w:rPr>
        <w:t>nyolc hónapjában mért adatokhoz képest.</w:t>
      </w:r>
      <w:r w:rsidR="000E1073" w:rsidRPr="000E1073">
        <w:rPr>
          <w:b/>
        </w:rPr>
        <w:t xml:space="preserve"> </w:t>
      </w:r>
      <w:r w:rsidR="000E1073" w:rsidRPr="000E1073">
        <w:t>(</w:t>
      </w:r>
      <w:r w:rsidR="009D0283" w:rsidRPr="009D0283">
        <w:t xml:space="preserve">2016. január </w:t>
      </w:r>
      <w:r w:rsidR="009D0283">
        <w:t>–</w:t>
      </w:r>
      <w:r w:rsidR="009D0283" w:rsidRPr="009D0283">
        <w:t xml:space="preserve"> augusztus</w:t>
      </w:r>
      <w:r w:rsidR="009D0283">
        <w:t xml:space="preserve"> között </w:t>
      </w:r>
      <w:r w:rsidR="000E1073" w:rsidRPr="000E1073">
        <w:t>1</w:t>
      </w:r>
      <w:r w:rsidR="009D0283">
        <w:t>560</w:t>
      </w:r>
      <w:r w:rsidR="000E1073" w:rsidRPr="000E1073">
        <w:t xml:space="preserve"> millió </w:t>
      </w:r>
      <w:r w:rsidR="009D0283">
        <w:t>EUR</w:t>
      </w:r>
      <w:r w:rsidR="000E1073" w:rsidRPr="000E1073">
        <w:t xml:space="preserve"> volt ez a szám)</w:t>
      </w:r>
      <w:r w:rsidR="000E1073" w:rsidRPr="000E1073">
        <w:rPr>
          <w:b/>
        </w:rPr>
        <w:t xml:space="preserve">. </w:t>
      </w:r>
    </w:p>
    <w:p w:rsidR="004965A3" w:rsidRDefault="004965A3" w:rsidP="000E1073">
      <w:pPr>
        <w:spacing w:line="276" w:lineRule="auto"/>
        <w:jc w:val="both"/>
        <w:rPr>
          <w:b/>
        </w:rPr>
      </w:pPr>
    </w:p>
    <w:p w:rsidR="004C7FAC" w:rsidRDefault="004965A3" w:rsidP="004C7FAC">
      <w:pPr>
        <w:keepNext/>
        <w:spacing w:line="276" w:lineRule="auto"/>
        <w:jc w:val="both"/>
      </w:pPr>
      <w:r>
        <w:rPr>
          <w:noProof/>
        </w:rPr>
        <w:drawing>
          <wp:inline distT="0" distB="0" distL="0" distR="0" wp14:anchorId="63FE825C" wp14:editId="3759BFE5">
            <wp:extent cx="6229350" cy="26765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65A3" w:rsidRPr="004C7FAC" w:rsidRDefault="004C7FAC" w:rsidP="004C7FAC">
      <w:pPr>
        <w:pStyle w:val="Kpalrs"/>
        <w:jc w:val="both"/>
        <w:rPr>
          <w:b/>
          <w:color w:val="auto"/>
        </w:rPr>
      </w:pPr>
      <w:r w:rsidRPr="004C7FAC">
        <w:rPr>
          <w:noProof/>
          <w:color w:val="auto"/>
        </w:rPr>
        <w:t>Forrás:KSH</w:t>
      </w:r>
    </w:p>
    <w:p w:rsidR="007820DB" w:rsidRDefault="007820DB" w:rsidP="000E0F0B">
      <w:pPr>
        <w:spacing w:line="276" w:lineRule="auto"/>
        <w:jc w:val="both"/>
        <w:rPr>
          <w:b/>
        </w:rPr>
      </w:pPr>
    </w:p>
    <w:p w:rsidR="000E0F0B" w:rsidRPr="000E0F0B" w:rsidRDefault="000E0F0B" w:rsidP="007820DB">
      <w:pPr>
        <w:spacing w:line="276" w:lineRule="auto"/>
        <w:jc w:val="center"/>
        <w:rPr>
          <w:b/>
        </w:rPr>
      </w:pPr>
      <w:r>
        <w:rPr>
          <w:b/>
        </w:rPr>
        <w:t>A m</w:t>
      </w:r>
      <w:r w:rsidRPr="000E0F0B">
        <w:rPr>
          <w:b/>
        </w:rPr>
        <w:t>agyar export</w:t>
      </w:r>
      <w:r>
        <w:rPr>
          <w:b/>
        </w:rPr>
        <w:t xml:space="preserve"> alakulása </w:t>
      </w:r>
      <w:r w:rsidRPr="000E0F0B">
        <w:rPr>
          <w:b/>
        </w:rPr>
        <w:t>termékcsoportonként</w:t>
      </w:r>
    </w:p>
    <w:p w:rsidR="004C7FAC" w:rsidRDefault="000E0F0B" w:rsidP="000E1073">
      <w:pPr>
        <w:spacing w:line="276" w:lineRule="auto"/>
        <w:jc w:val="both"/>
      </w:pPr>
      <w:r>
        <w:rPr>
          <w:noProof/>
        </w:rPr>
        <w:drawing>
          <wp:inline distT="0" distB="0" distL="0" distR="0" wp14:anchorId="7C3C9873" wp14:editId="157B26B5">
            <wp:extent cx="6200775" cy="2305050"/>
            <wp:effectExtent l="0" t="0" r="9525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7FAC" w:rsidRPr="004C7FAC" w:rsidRDefault="004C7FAC" w:rsidP="004C7FAC">
      <w:pPr>
        <w:pStyle w:val="Kpalrs"/>
        <w:jc w:val="both"/>
        <w:rPr>
          <w:color w:val="auto"/>
        </w:rPr>
      </w:pPr>
      <w:r w:rsidRPr="004C7FAC">
        <w:rPr>
          <w:color w:val="auto"/>
        </w:rPr>
        <w:t>Forrás: KSH</w:t>
      </w:r>
    </w:p>
    <w:p w:rsidR="007820DB" w:rsidRDefault="007820DB" w:rsidP="000E0F0B">
      <w:pPr>
        <w:spacing w:line="276" w:lineRule="auto"/>
        <w:rPr>
          <w:b/>
        </w:rPr>
      </w:pPr>
    </w:p>
    <w:p w:rsidR="00280975" w:rsidRDefault="000E0F0B" w:rsidP="007820DB">
      <w:pPr>
        <w:spacing w:line="276" w:lineRule="auto"/>
        <w:jc w:val="center"/>
        <w:rPr>
          <w:b/>
        </w:rPr>
      </w:pPr>
      <w:r>
        <w:rPr>
          <w:b/>
        </w:rPr>
        <w:t>A m</w:t>
      </w:r>
      <w:r w:rsidR="00280975" w:rsidRPr="00280975">
        <w:rPr>
          <w:b/>
        </w:rPr>
        <w:t>agyar–török külkereskedelmi áruforgalom</w:t>
      </w:r>
      <w:r>
        <w:rPr>
          <w:b/>
        </w:rPr>
        <w:t xml:space="preserve"> aktuális tendenciája </w:t>
      </w:r>
      <w:r w:rsidR="00280975" w:rsidRPr="00280975">
        <w:rPr>
          <w:b/>
        </w:rPr>
        <w:t>(millió EUR)</w:t>
      </w:r>
    </w:p>
    <w:p w:rsidR="00280975" w:rsidRPr="00280975" w:rsidRDefault="00280975" w:rsidP="00280975">
      <w:pPr>
        <w:spacing w:line="276" w:lineRule="auto"/>
        <w:jc w:val="center"/>
        <w:rPr>
          <w:b/>
        </w:rPr>
      </w:pPr>
    </w:p>
    <w:tbl>
      <w:tblPr>
        <w:tblStyle w:val="Rcsostblzat"/>
        <w:tblW w:w="9196" w:type="dxa"/>
        <w:tblLook w:val="04A0" w:firstRow="1" w:lastRow="0" w:firstColumn="1" w:lastColumn="0" w:noHBand="0" w:noVBand="1"/>
      </w:tblPr>
      <w:tblGrid>
        <w:gridCol w:w="1729"/>
        <w:gridCol w:w="828"/>
        <w:gridCol w:w="939"/>
        <w:gridCol w:w="1037"/>
        <w:gridCol w:w="828"/>
        <w:gridCol w:w="222"/>
        <w:gridCol w:w="828"/>
        <w:gridCol w:w="939"/>
        <w:gridCol w:w="1037"/>
        <w:gridCol w:w="828"/>
      </w:tblGrid>
      <w:tr w:rsidR="00C32B17" w:rsidRPr="005331D2" w:rsidTr="00C32B17">
        <w:trPr>
          <w:trHeight w:val="619"/>
        </w:trPr>
        <w:tc>
          <w:tcPr>
            <w:tcW w:w="0" w:type="auto"/>
            <w:noWrap/>
          </w:tcPr>
          <w:p w:rsidR="00C32B17" w:rsidRPr="005331D2" w:rsidRDefault="00C32B17" w:rsidP="0053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  <w:noWrap/>
            <w:vAlign w:val="center"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20"/>
                <w:szCs w:val="20"/>
              </w:rPr>
              <w:t>2016. január - augusztus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B17" w:rsidRPr="005331D2" w:rsidRDefault="00C32B17" w:rsidP="002809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noWrap/>
            <w:vAlign w:val="center"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20"/>
                <w:szCs w:val="20"/>
              </w:rPr>
              <w:t>2017. január - augusztus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noWrap/>
            <w:hideMark/>
          </w:tcPr>
          <w:p w:rsidR="00C32B17" w:rsidRPr="005331D2" w:rsidRDefault="00C32B17" w:rsidP="00533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Import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Export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Forgalom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Szaldó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Import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Export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Forgalom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331D2">
              <w:rPr>
                <w:rFonts w:ascii="Arial" w:hAnsi="Arial" w:cs="Arial"/>
                <w:b/>
                <w:sz w:val="18"/>
                <w:szCs w:val="20"/>
              </w:rPr>
              <w:t>Szaldó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 xml:space="preserve">Mindösszesen </w:t>
            </w:r>
            <w:r>
              <w:rPr>
                <w:rFonts w:ascii="Arial" w:hAnsi="Arial" w:cs="Arial"/>
                <w:sz w:val="20"/>
                <w:szCs w:val="20"/>
              </w:rPr>
              <w:t>termék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425,77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1134,37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1560,14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506,53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1267,88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1774,41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761,35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>Élelmiszerek, italok, dohány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9,82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55,73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62,53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84,81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40,25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>Nyersanyagok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3,61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12,61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18,28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21,03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15,53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>Energiahordozók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3,97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0,69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6,67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7,36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5,97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>Feldolgozott termékek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235,75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259,09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289,14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325,38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614,52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36,24</w:t>
            </w:r>
          </w:p>
        </w:tc>
      </w:tr>
      <w:tr w:rsidR="00C32B17" w:rsidRPr="005331D2" w:rsidTr="00C32B17">
        <w:trPr>
          <w:trHeight w:val="619"/>
        </w:trPr>
        <w:tc>
          <w:tcPr>
            <w:tcW w:w="0" w:type="auto"/>
            <w:hideMark/>
          </w:tcPr>
          <w:p w:rsidR="00C32B17" w:rsidRPr="005331D2" w:rsidRDefault="00C32B17" w:rsidP="00280975">
            <w:pPr>
              <w:rPr>
                <w:rFonts w:ascii="Arial" w:hAnsi="Arial" w:cs="Arial"/>
                <w:sz w:val="20"/>
                <w:szCs w:val="20"/>
              </w:rPr>
            </w:pPr>
            <w:r w:rsidRPr="005331D2">
              <w:rPr>
                <w:rFonts w:ascii="Arial" w:hAnsi="Arial" w:cs="Arial"/>
                <w:sz w:val="20"/>
                <w:szCs w:val="20"/>
              </w:rPr>
              <w:t>Gépek és szállítóeszközök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176,21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802,97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979,18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B17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191,66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855,02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1046,68</w:t>
            </w:r>
          </w:p>
        </w:tc>
        <w:tc>
          <w:tcPr>
            <w:tcW w:w="0" w:type="auto"/>
            <w:noWrap/>
            <w:vAlign w:val="center"/>
            <w:hideMark/>
          </w:tcPr>
          <w:p w:rsidR="00C32B17" w:rsidRPr="005331D2" w:rsidRDefault="00C32B17" w:rsidP="00C32B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663,36</w:t>
            </w:r>
          </w:p>
        </w:tc>
      </w:tr>
    </w:tbl>
    <w:p w:rsidR="00F4192A" w:rsidRDefault="00F4192A" w:rsidP="000E1073">
      <w:pPr>
        <w:spacing w:line="276" w:lineRule="auto"/>
        <w:jc w:val="both"/>
      </w:pPr>
    </w:p>
    <w:p w:rsidR="00305395" w:rsidRDefault="00DD6FAA" w:rsidP="000E1073">
      <w:pPr>
        <w:spacing w:line="276" w:lineRule="auto"/>
        <w:jc w:val="both"/>
      </w:pPr>
      <w:r>
        <w:t xml:space="preserve">A KSH </w:t>
      </w:r>
      <w:r w:rsidR="00305395">
        <w:t>2017. január és augusztus közötti időszakban</w:t>
      </w:r>
      <w:r>
        <w:t xml:space="preserve"> mért adatokból kiderül, hogy az é</w:t>
      </w:r>
      <w:r w:rsidRPr="00305395">
        <w:t>lelmiszer és élő állat</w:t>
      </w:r>
      <w:r>
        <w:t xml:space="preserve"> export </w:t>
      </w:r>
      <w:r w:rsidR="00305395">
        <w:t>13,5%-</w:t>
      </w:r>
      <w:r w:rsidR="00A3124B">
        <w:t>k</w:t>
      </w:r>
      <w:r>
        <w:t>al, a f</w:t>
      </w:r>
      <w:r w:rsidRPr="00DD6FAA">
        <w:t>eldolgozott termékek</w:t>
      </w:r>
      <w:r>
        <w:t xml:space="preserve"> exportja 25,5%-</w:t>
      </w:r>
      <w:r w:rsidR="00A3124B">
        <w:t>k</w:t>
      </w:r>
      <w:r>
        <w:t>al, míg a g</w:t>
      </w:r>
      <w:r w:rsidRPr="00DD6FAA">
        <w:t>épek és szállítóeszközök</w:t>
      </w:r>
      <w:r w:rsidR="00305395">
        <w:t xml:space="preserve"> </w:t>
      </w:r>
      <w:r>
        <w:t>exportja 6,4%-</w:t>
      </w:r>
      <w:r w:rsidR="00A3124B">
        <w:t>k</w:t>
      </w:r>
      <w:r>
        <w:t xml:space="preserve">al </w:t>
      </w:r>
      <w:r w:rsidR="00305395">
        <w:t>növeked</w:t>
      </w:r>
      <w:r>
        <w:t xml:space="preserve">ett, az azonos időszakban mért 2016-os adatokhoz képest. </w:t>
      </w:r>
      <w:r w:rsidR="001F5138">
        <w:t xml:space="preserve">Magyarország </w:t>
      </w:r>
      <w:r w:rsidR="0022629E">
        <w:t>külkereskedelmi szaldó</w:t>
      </w:r>
      <w:r w:rsidR="001F5138">
        <w:t>ja Törökországgal 2012 óta folyamatosan javul, mely</w:t>
      </w:r>
      <w:r w:rsidR="00492DAF">
        <w:t xml:space="preserve"> dinamikája csupán a</w:t>
      </w:r>
      <w:r w:rsidR="001F5138">
        <w:t xml:space="preserve"> 2016-ban a </w:t>
      </w:r>
      <w:r w:rsidR="001F5138" w:rsidRPr="001F5138">
        <w:t xml:space="preserve">törökországi puccskísérletet </w:t>
      </w:r>
      <w:r w:rsidR="001F5138">
        <w:t xml:space="preserve">követően </w:t>
      </w:r>
      <w:r w:rsidR="00492DAF">
        <w:t>esett vissza</w:t>
      </w:r>
      <w:r w:rsidR="001F5138">
        <w:t xml:space="preserve"> 4,7%-</w:t>
      </w:r>
      <w:r w:rsidR="00A3124B">
        <w:t>k</w:t>
      </w:r>
      <w:r w:rsidR="001F5138">
        <w:t xml:space="preserve">al, </w:t>
      </w:r>
      <w:r w:rsidR="00492DAF">
        <w:t xml:space="preserve">azonban így is meghaladta az egy milliárd eurót. A rendelkezésre álló adatok alapján, az idén </w:t>
      </w:r>
      <w:r w:rsidR="0022629E" w:rsidRPr="0022629E">
        <w:t>többé-kevésbé hasonló dinamikára lehet számítani.</w:t>
      </w:r>
    </w:p>
    <w:p w:rsidR="007D2E13" w:rsidRDefault="007D2E13" w:rsidP="000E1073">
      <w:pPr>
        <w:spacing w:line="276" w:lineRule="auto"/>
        <w:jc w:val="both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88"/>
        <w:gridCol w:w="1672"/>
        <w:gridCol w:w="1701"/>
        <w:gridCol w:w="1412"/>
      </w:tblGrid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noWrap/>
            <w:hideMark/>
          </w:tcPr>
          <w:p w:rsidR="003F096D" w:rsidRPr="003F096D" w:rsidRDefault="003F096D" w:rsidP="00C26F18">
            <w:pPr>
              <w:jc w:val="center"/>
            </w:pPr>
            <w:r w:rsidRPr="003F096D">
              <w:t>Határparitásos érték (EUR)</w:t>
            </w:r>
          </w:p>
        </w:tc>
        <w:tc>
          <w:tcPr>
            <w:tcW w:w="3260" w:type="dxa"/>
            <w:gridSpan w:val="2"/>
            <w:shd w:val="clear" w:color="auto" w:fill="DBE5F1" w:themeFill="accent1" w:themeFillTint="33"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Ügylettípus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hideMark/>
          </w:tcPr>
          <w:p w:rsidR="003F096D" w:rsidRPr="003F096D" w:rsidRDefault="003F096D" w:rsidP="003F096D"/>
        </w:tc>
        <w:tc>
          <w:tcPr>
            <w:tcW w:w="1412" w:type="dxa"/>
            <w:shd w:val="clear" w:color="auto" w:fill="DBE5F1" w:themeFill="accent1" w:themeFillTint="33"/>
            <w:noWrap/>
            <w:hideMark/>
          </w:tcPr>
          <w:p w:rsidR="003F096D" w:rsidRPr="003F096D" w:rsidRDefault="003F096D" w:rsidP="003F096D"/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Időszak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Import</w:t>
            </w:r>
          </w:p>
        </w:tc>
        <w:tc>
          <w:tcPr>
            <w:tcW w:w="1672" w:type="dxa"/>
            <w:shd w:val="clear" w:color="auto" w:fill="DBE5F1" w:themeFill="accent1" w:themeFillTint="33"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Export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Szaldó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096D" w:rsidRPr="003F096D" w:rsidRDefault="003F096D" w:rsidP="00BA2DFA">
            <w:pPr>
              <w:jc w:val="center"/>
            </w:pPr>
            <w:r w:rsidRPr="003F096D">
              <w:t>Növekedés / Csökkenés</w:t>
            </w:r>
          </w:p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2012. év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399 407 616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1 212 165 262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812 757 646</w:t>
            </w:r>
          </w:p>
        </w:tc>
        <w:tc>
          <w:tcPr>
            <w:tcW w:w="1412" w:type="dxa"/>
            <w:tcBorders>
              <w:tr2bl w:val="single" w:sz="4" w:space="0" w:color="D9D9D9" w:themeColor="background1" w:themeShade="D9"/>
            </w:tcBorders>
            <w:noWrap/>
            <w:hideMark/>
          </w:tcPr>
          <w:p w:rsidR="003F096D" w:rsidRPr="003F096D" w:rsidRDefault="003F096D" w:rsidP="00BA2DFA">
            <w:pPr>
              <w:jc w:val="center"/>
            </w:pPr>
          </w:p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2013. év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550 510 942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1 420 184 357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869 673 415</w:t>
            </w:r>
          </w:p>
        </w:tc>
        <w:tc>
          <w:tcPr>
            <w:tcW w:w="1412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7,0</w:t>
            </w:r>
            <w:r w:rsidR="00BA2DFA">
              <w:t xml:space="preserve"> </w:t>
            </w:r>
            <w:r w:rsidRPr="003F096D">
              <w:t>%</w:t>
            </w:r>
          </w:p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2014. év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521 197 522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1 591 704 301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1 070 506 779</w:t>
            </w:r>
          </w:p>
        </w:tc>
        <w:tc>
          <w:tcPr>
            <w:tcW w:w="1412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23,1</w:t>
            </w:r>
            <w:r w:rsidR="00BA2DFA">
              <w:t xml:space="preserve"> </w:t>
            </w:r>
            <w:r w:rsidRPr="003F096D">
              <w:t>%</w:t>
            </w:r>
          </w:p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2015. év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692 852 050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1 841 281 392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1 148 429 342</w:t>
            </w:r>
          </w:p>
        </w:tc>
        <w:tc>
          <w:tcPr>
            <w:tcW w:w="1412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7,3</w:t>
            </w:r>
            <w:r w:rsidR="00BA2DFA">
              <w:t xml:space="preserve"> </w:t>
            </w:r>
            <w:r w:rsidRPr="003F096D">
              <w:t>%</w:t>
            </w:r>
          </w:p>
        </w:tc>
      </w:tr>
      <w:tr w:rsidR="003F096D" w:rsidRPr="003F096D" w:rsidTr="00BA2DFA">
        <w:trPr>
          <w:trHeight w:val="30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2016. év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695 450 599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1 789 429 515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1 093 978 916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-4,7</w:t>
            </w:r>
            <w:r w:rsidR="00BA2DFA">
              <w:t xml:space="preserve"> </w:t>
            </w:r>
            <w:r w:rsidRPr="003F096D">
              <w:t>%</w:t>
            </w:r>
          </w:p>
        </w:tc>
      </w:tr>
      <w:tr w:rsidR="003F096D" w:rsidRPr="003F096D" w:rsidTr="00BA2DFA">
        <w:trPr>
          <w:trHeight w:val="190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2016. január - augusztus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425 767 295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1 134 370 772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708 603 477</w:t>
            </w:r>
          </w:p>
        </w:tc>
        <w:tc>
          <w:tcPr>
            <w:tcW w:w="1412" w:type="dxa"/>
            <w:tcBorders>
              <w:tr2bl w:val="single" w:sz="4" w:space="0" w:color="D9D9D9" w:themeColor="background1" w:themeShade="D9"/>
            </w:tcBorders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</w:p>
        </w:tc>
      </w:tr>
      <w:tr w:rsidR="003F096D" w:rsidRPr="003F096D" w:rsidTr="00BA2DFA">
        <w:trPr>
          <w:trHeight w:val="266"/>
        </w:trPr>
        <w:tc>
          <w:tcPr>
            <w:tcW w:w="2689" w:type="dxa"/>
            <w:shd w:val="clear" w:color="auto" w:fill="DBE5F1" w:themeFill="accent1" w:themeFillTint="33"/>
            <w:hideMark/>
          </w:tcPr>
          <w:p w:rsidR="003F096D" w:rsidRPr="003F096D" w:rsidRDefault="003F096D" w:rsidP="003F096D">
            <w:r w:rsidRPr="003F096D">
              <w:t>2017. január - augusztus</w:t>
            </w:r>
          </w:p>
        </w:tc>
        <w:tc>
          <w:tcPr>
            <w:tcW w:w="1588" w:type="dxa"/>
            <w:noWrap/>
            <w:hideMark/>
          </w:tcPr>
          <w:p w:rsidR="003F096D" w:rsidRPr="003F096D" w:rsidRDefault="003F096D" w:rsidP="003F096D">
            <w:r w:rsidRPr="003F096D">
              <w:t>506 527 776</w:t>
            </w:r>
          </w:p>
        </w:tc>
        <w:tc>
          <w:tcPr>
            <w:tcW w:w="1672" w:type="dxa"/>
            <w:noWrap/>
            <w:hideMark/>
          </w:tcPr>
          <w:p w:rsidR="003F096D" w:rsidRPr="003F096D" w:rsidRDefault="003F096D" w:rsidP="003F096D">
            <w:r w:rsidRPr="003F096D">
              <w:t>1 267 877 309</w:t>
            </w:r>
          </w:p>
        </w:tc>
        <w:tc>
          <w:tcPr>
            <w:tcW w:w="1701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761 349 533</w:t>
            </w:r>
          </w:p>
        </w:tc>
        <w:tc>
          <w:tcPr>
            <w:tcW w:w="1412" w:type="dxa"/>
            <w:noWrap/>
            <w:vAlign w:val="center"/>
            <w:hideMark/>
          </w:tcPr>
          <w:p w:rsidR="003F096D" w:rsidRPr="003F096D" w:rsidRDefault="003F096D" w:rsidP="00BA2DFA">
            <w:pPr>
              <w:jc w:val="right"/>
            </w:pPr>
            <w:r w:rsidRPr="003F096D">
              <w:t>7,4</w:t>
            </w:r>
            <w:r w:rsidR="00BA2DFA">
              <w:t xml:space="preserve"> </w:t>
            </w:r>
            <w:r w:rsidRPr="003F096D">
              <w:t>%</w:t>
            </w:r>
          </w:p>
        </w:tc>
      </w:tr>
    </w:tbl>
    <w:p w:rsidR="00BA2DFA" w:rsidRPr="004C7FAC" w:rsidRDefault="00BA2DFA" w:rsidP="00BA2DFA">
      <w:pPr>
        <w:pStyle w:val="Kpalrs"/>
        <w:jc w:val="both"/>
        <w:rPr>
          <w:color w:val="auto"/>
        </w:rPr>
      </w:pPr>
      <w:r w:rsidRPr="004C7FAC">
        <w:rPr>
          <w:color w:val="auto"/>
        </w:rPr>
        <w:t>Forrás: KSH</w:t>
      </w:r>
    </w:p>
    <w:p w:rsidR="003F0F78" w:rsidRDefault="003F0F78" w:rsidP="000E1073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03333A" w:rsidRDefault="0003333A" w:rsidP="000E1073">
      <w:pPr>
        <w:spacing w:line="276" w:lineRule="auto"/>
        <w:jc w:val="both"/>
        <w:rPr>
          <w:rFonts w:eastAsia="Calibri"/>
          <w:b/>
          <w:u w:val="single"/>
          <w:lang w:eastAsia="en-US"/>
        </w:rPr>
        <w:sectPr w:rsidR="0003333A" w:rsidSect="00BA2DFA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112A" w:rsidRDefault="0097112A" w:rsidP="0097112A">
      <w:pPr>
        <w:rPr>
          <w:b/>
          <w:u w:val="single"/>
        </w:rPr>
      </w:pPr>
      <w:r w:rsidRPr="0097112A">
        <w:rPr>
          <w:b/>
          <w:u w:val="single"/>
        </w:rPr>
        <w:t>Jelentősebb török befektetések Magyarországon</w:t>
      </w:r>
    </w:p>
    <w:p w:rsidR="0097112A" w:rsidRPr="0097112A" w:rsidRDefault="0097112A" w:rsidP="0097112A">
      <w:pPr>
        <w:rPr>
          <w:b/>
          <w:u w:val="single"/>
        </w:rPr>
      </w:pPr>
    </w:p>
    <w:p w:rsidR="0097112A" w:rsidRPr="009C3B2B" w:rsidRDefault="0097112A" w:rsidP="0097112A">
      <w:pPr>
        <w:pStyle w:val="Listaszerbekezds"/>
        <w:numPr>
          <w:ilvl w:val="0"/>
          <w:numId w:val="4"/>
        </w:numPr>
        <w:spacing w:line="276" w:lineRule="auto"/>
        <w:jc w:val="both"/>
      </w:pPr>
      <w:proofErr w:type="spellStart"/>
      <w:r w:rsidRPr="009C3B2B">
        <w:rPr>
          <w:b/>
        </w:rPr>
        <w:t>Ekol</w:t>
      </w:r>
      <w:proofErr w:type="spellEnd"/>
      <w:r w:rsidRPr="009C3B2B">
        <w:rPr>
          <w:b/>
        </w:rPr>
        <w:t xml:space="preserve"> </w:t>
      </w:r>
      <w:proofErr w:type="spellStart"/>
      <w:r w:rsidRPr="009C3B2B">
        <w:rPr>
          <w:b/>
        </w:rPr>
        <w:t>Logistics</w:t>
      </w:r>
      <w:proofErr w:type="spellEnd"/>
      <w:r w:rsidRPr="009C3B2B">
        <w:rPr>
          <w:b/>
        </w:rPr>
        <w:t xml:space="preserve"> Szolgáltató Kft.</w:t>
      </w:r>
      <w:r w:rsidRPr="009C3B2B">
        <w:t xml:space="preserve"> (Budapest): integrált logisztikai szolgáltatások; 1 millió eurós befektetés</w:t>
      </w:r>
      <w:r w:rsidRPr="009C3B2B">
        <w:softHyphen/>
        <w:t>se</w:t>
      </w:r>
      <w:r>
        <w:t>l 2013 szeptemberében alapítva</w:t>
      </w:r>
    </w:p>
    <w:p w:rsidR="0097112A" w:rsidRPr="009C3B2B" w:rsidRDefault="0097112A" w:rsidP="0097112A">
      <w:pPr>
        <w:pStyle w:val="Listaszerbekezds"/>
        <w:numPr>
          <w:ilvl w:val="0"/>
          <w:numId w:val="4"/>
        </w:numPr>
        <w:spacing w:line="276" w:lineRule="auto"/>
        <w:jc w:val="both"/>
        <w:rPr>
          <w:rFonts w:eastAsia="Calibri"/>
        </w:rPr>
      </w:pPr>
      <w:proofErr w:type="spellStart"/>
      <w:r w:rsidRPr="009C3B2B">
        <w:rPr>
          <w:b/>
        </w:rPr>
        <w:t>Duna-Döner</w:t>
      </w:r>
      <w:proofErr w:type="spellEnd"/>
      <w:r w:rsidRPr="009C3B2B">
        <w:rPr>
          <w:b/>
        </w:rPr>
        <w:t xml:space="preserve"> Kft.</w:t>
      </w:r>
      <w:r w:rsidRPr="009C3B2B">
        <w:t xml:space="preserve"> </w:t>
      </w:r>
      <w:r w:rsidRPr="009C3B2B">
        <w:rPr>
          <w:color w:val="323232"/>
        </w:rPr>
        <w:t xml:space="preserve">(Makó): </w:t>
      </w:r>
      <w:r w:rsidRPr="009C3B2B">
        <w:rPr>
          <w:rFonts w:eastAsia="Calibri"/>
        </w:rPr>
        <w:t>2010-ben 850 millió Ft beruházással (benne 400 millió Ft EU támogatással) létesített élelmi</w:t>
      </w:r>
      <w:r>
        <w:rPr>
          <w:rFonts w:eastAsia="Calibri"/>
        </w:rPr>
        <w:t>szer-feldolgozó üzem</w:t>
      </w:r>
    </w:p>
    <w:p w:rsidR="0097112A" w:rsidRPr="009C3B2B" w:rsidRDefault="0097112A" w:rsidP="0097112A">
      <w:pPr>
        <w:pStyle w:val="Listaszerbekezds"/>
        <w:numPr>
          <w:ilvl w:val="0"/>
          <w:numId w:val="4"/>
        </w:numPr>
        <w:spacing w:line="276" w:lineRule="auto"/>
        <w:jc w:val="both"/>
        <w:rPr>
          <w:b/>
        </w:rPr>
      </w:pPr>
      <w:proofErr w:type="spellStart"/>
      <w:r w:rsidRPr="009C3B2B">
        <w:rPr>
          <w:rFonts w:eastAsia="Calibri"/>
          <w:b/>
        </w:rPr>
        <w:t>Celebi</w:t>
      </w:r>
      <w:proofErr w:type="spellEnd"/>
      <w:r w:rsidRPr="009C3B2B">
        <w:rPr>
          <w:rFonts w:eastAsia="Calibri"/>
          <w:b/>
        </w:rPr>
        <w:t xml:space="preserve"> </w:t>
      </w:r>
      <w:proofErr w:type="spellStart"/>
      <w:r w:rsidRPr="009C3B2B">
        <w:rPr>
          <w:rFonts w:eastAsia="Calibri"/>
          <w:b/>
        </w:rPr>
        <w:t>Ground</w:t>
      </w:r>
      <w:proofErr w:type="spellEnd"/>
      <w:r w:rsidRPr="009C3B2B">
        <w:rPr>
          <w:rFonts w:eastAsia="Calibri"/>
          <w:b/>
        </w:rPr>
        <w:t xml:space="preserve"> </w:t>
      </w:r>
      <w:proofErr w:type="spellStart"/>
      <w:r w:rsidRPr="009C3B2B">
        <w:rPr>
          <w:rFonts w:eastAsia="Calibri"/>
          <w:b/>
        </w:rPr>
        <w:t>Handling</w:t>
      </w:r>
      <w:proofErr w:type="spellEnd"/>
      <w:r w:rsidRPr="009C3B2B">
        <w:rPr>
          <w:rFonts w:eastAsia="Calibri"/>
          <w:b/>
        </w:rPr>
        <w:t xml:space="preserve"> Hungary Földi Kiszolgáló Kft.</w:t>
      </w:r>
      <w:r w:rsidRPr="009C3B2B">
        <w:rPr>
          <w:rFonts w:eastAsia="Calibri"/>
        </w:rPr>
        <w:t xml:space="preserve"> (Budapest): a </w:t>
      </w:r>
      <w:proofErr w:type="spellStart"/>
      <w:r w:rsidRPr="009C3B2B">
        <w:rPr>
          <w:rFonts w:eastAsia="Calibri"/>
        </w:rPr>
        <w:t>Çelebi</w:t>
      </w:r>
      <w:proofErr w:type="spellEnd"/>
      <w:r w:rsidRPr="009C3B2B">
        <w:rPr>
          <w:rFonts w:eastAsia="Calibri"/>
        </w:rPr>
        <w:t xml:space="preserve"> </w:t>
      </w:r>
      <w:proofErr w:type="spellStart"/>
      <w:r w:rsidRPr="009C3B2B">
        <w:rPr>
          <w:rFonts w:eastAsia="Calibri"/>
        </w:rPr>
        <w:t>Ground</w:t>
      </w:r>
      <w:proofErr w:type="spellEnd"/>
      <w:r w:rsidRPr="009C3B2B">
        <w:rPr>
          <w:rFonts w:eastAsia="Calibri"/>
        </w:rPr>
        <w:t xml:space="preserve"> </w:t>
      </w:r>
      <w:proofErr w:type="spellStart"/>
      <w:r w:rsidRPr="009C3B2B">
        <w:rPr>
          <w:rFonts w:eastAsia="Calibri"/>
        </w:rPr>
        <w:t>Handling</w:t>
      </w:r>
      <w:proofErr w:type="spellEnd"/>
      <w:r w:rsidRPr="009C3B2B">
        <w:rPr>
          <w:rFonts w:eastAsia="Calibri"/>
        </w:rPr>
        <w:t xml:space="preserve"> Inc. tulajdonában, a Liszt Ferenc </w:t>
      </w:r>
      <w:proofErr w:type="gramStart"/>
      <w:r w:rsidRPr="009C3B2B">
        <w:rPr>
          <w:rFonts w:eastAsia="Calibri"/>
        </w:rPr>
        <w:t>Repülőtér</w:t>
      </w:r>
      <w:proofErr w:type="gramEnd"/>
      <w:r w:rsidRPr="009C3B2B">
        <w:rPr>
          <w:rFonts w:eastAsia="Calibri"/>
        </w:rPr>
        <w:t xml:space="preserve"> földi kiszolgálását végzi</w:t>
      </w:r>
    </w:p>
    <w:p w:rsidR="0097112A" w:rsidRPr="009C3B2B" w:rsidRDefault="0097112A" w:rsidP="0097112A">
      <w:pPr>
        <w:pStyle w:val="Listaszerbekezds"/>
        <w:numPr>
          <w:ilvl w:val="0"/>
          <w:numId w:val="5"/>
        </w:numPr>
        <w:spacing w:line="276" w:lineRule="auto"/>
      </w:pPr>
      <w:r w:rsidRPr="009C3B2B">
        <w:rPr>
          <w:b/>
        </w:rPr>
        <w:t xml:space="preserve">Türk Telekom </w:t>
      </w:r>
      <w:proofErr w:type="gramStart"/>
      <w:r w:rsidRPr="009C3B2B">
        <w:rPr>
          <w:b/>
        </w:rPr>
        <w:t>International</w:t>
      </w:r>
      <w:proofErr w:type="gramEnd"/>
      <w:r w:rsidRPr="009C3B2B">
        <w:rPr>
          <w:b/>
        </w:rPr>
        <w:t xml:space="preserve"> HU Kft</w:t>
      </w:r>
      <w:r w:rsidRPr="009C3B2B">
        <w:t>. (Budaörs) : 2010-ben nemzetközi felvásárlási tranzakció során került a Türk Telekom csoport tulajdonába az akkori Invitel International Hungary Kft. (közvetlen tulajdonos a Hollandiában bejegyzett TT International Holding B.V.)</w:t>
      </w:r>
    </w:p>
    <w:p w:rsidR="0097112A" w:rsidRPr="009C3B2B" w:rsidRDefault="0097112A" w:rsidP="0097112A">
      <w:pPr>
        <w:pStyle w:val="Listaszerbekezds"/>
        <w:numPr>
          <w:ilvl w:val="0"/>
          <w:numId w:val="5"/>
        </w:numPr>
        <w:spacing w:line="276" w:lineRule="auto"/>
      </w:pPr>
      <w:proofErr w:type="spellStart"/>
      <w:r w:rsidRPr="009C3B2B">
        <w:rPr>
          <w:b/>
        </w:rPr>
        <w:t>Melis</w:t>
      </w:r>
      <w:proofErr w:type="spellEnd"/>
      <w:r w:rsidRPr="009C3B2B">
        <w:rPr>
          <w:b/>
        </w:rPr>
        <w:t xml:space="preserve"> </w:t>
      </w:r>
      <w:proofErr w:type="spellStart"/>
      <w:r w:rsidRPr="009C3B2B">
        <w:rPr>
          <w:b/>
        </w:rPr>
        <w:t>Investment</w:t>
      </w:r>
      <w:proofErr w:type="spellEnd"/>
      <w:r w:rsidRPr="009C3B2B">
        <w:rPr>
          <w:b/>
        </w:rPr>
        <w:t xml:space="preserve"> Kft.</w:t>
      </w:r>
      <w:r w:rsidRPr="009C3B2B">
        <w:t xml:space="preserve"> (Budapest): az </w:t>
      </w:r>
      <w:proofErr w:type="spellStart"/>
      <w:r w:rsidRPr="009C3B2B">
        <w:t>Özyer</w:t>
      </w:r>
      <w:proofErr w:type="spellEnd"/>
      <w:r w:rsidRPr="009C3B2B">
        <w:t xml:space="preserve"> Csoporthoz tartozó cég a Ferenciek terén a déli Klotild </w:t>
      </w:r>
      <w:r>
        <w:t>palotát vásárolta meg, ahol 2019-be</w:t>
      </w:r>
      <w:r w:rsidRPr="009C3B2B">
        <w:t>n szállodát kíván nyitni; a 2,69 Mrd Ft-os vételár és a felújítás együttesen k</w:t>
      </w:r>
      <w:r w:rsidR="00C26F18">
        <w:t>özel 15</w:t>
      </w:r>
      <w:r w:rsidRPr="009C3B2B">
        <w:t xml:space="preserve"> Mrd Ft befektetést jelent </w:t>
      </w:r>
    </w:p>
    <w:p w:rsidR="0097112A" w:rsidRPr="009C3B2B" w:rsidRDefault="0097112A" w:rsidP="0097112A">
      <w:pPr>
        <w:pStyle w:val="Listaszerbekezds"/>
        <w:numPr>
          <w:ilvl w:val="0"/>
          <w:numId w:val="5"/>
        </w:numPr>
        <w:spacing w:line="276" w:lineRule="auto"/>
      </w:pPr>
      <w:proofErr w:type="spellStart"/>
      <w:r w:rsidRPr="009C3B2B">
        <w:rPr>
          <w:b/>
        </w:rPr>
        <w:t>Family</w:t>
      </w:r>
      <w:proofErr w:type="spellEnd"/>
      <w:r w:rsidRPr="009C3B2B">
        <w:rPr>
          <w:b/>
        </w:rPr>
        <w:t xml:space="preserve"> Hotel</w:t>
      </w:r>
      <w:r w:rsidRPr="009C3B2B">
        <w:t xml:space="preserve"> (Balástya): 65 szobás, konferencia teremmel is rendelkező szálloda az M5 autópálya mellett, magánbefektetők tulajdonában; több mint 1 Mrd Ft beruházással (benne 360 millió Ft EU támogatás</w:t>
      </w:r>
      <w:r>
        <w:t>sal) 2015 nyarán nyitották meg</w:t>
      </w:r>
    </w:p>
    <w:p w:rsidR="0097112A" w:rsidRPr="009C3B2B" w:rsidRDefault="0097112A" w:rsidP="0097112A">
      <w:pPr>
        <w:pStyle w:val="Listaszerbekezds"/>
        <w:numPr>
          <w:ilvl w:val="0"/>
          <w:numId w:val="5"/>
        </w:numPr>
        <w:spacing w:line="276" w:lineRule="auto"/>
      </w:pPr>
      <w:proofErr w:type="spellStart"/>
      <w:r w:rsidRPr="009C3B2B">
        <w:rPr>
          <w:b/>
        </w:rPr>
        <w:t>Otokoc</w:t>
      </w:r>
      <w:proofErr w:type="spellEnd"/>
      <w:r w:rsidRPr="009C3B2B">
        <w:rPr>
          <w:b/>
        </w:rPr>
        <w:t xml:space="preserve"> Hungary Autókölcsönző és Szolgáltató Kft. </w:t>
      </w:r>
      <w:r w:rsidRPr="009C3B2B">
        <w:t xml:space="preserve">(Budapest): a </w:t>
      </w:r>
      <w:proofErr w:type="spellStart"/>
      <w:r w:rsidRPr="009C3B2B">
        <w:t>Koç</w:t>
      </w:r>
      <w:proofErr w:type="spellEnd"/>
      <w:r w:rsidRPr="009C3B2B">
        <w:t xml:space="preserve"> Holding 2015 folyamán felvásárolta az </w:t>
      </w:r>
      <w:proofErr w:type="spellStart"/>
      <w:r w:rsidRPr="009C3B2B">
        <w:t>AvisBudget</w:t>
      </w:r>
      <w:proofErr w:type="spellEnd"/>
      <w:r w:rsidRPr="009C3B2B">
        <w:t xml:space="preserve"> autókölcsönző vállalkozás magyarországi váll</w:t>
      </w:r>
      <w:r>
        <w:t>alatát</w:t>
      </w:r>
    </w:p>
    <w:p w:rsidR="0097112A" w:rsidRDefault="0097112A" w:rsidP="0097112A">
      <w:pPr>
        <w:pStyle w:val="Listaszerbekezds"/>
        <w:numPr>
          <w:ilvl w:val="0"/>
          <w:numId w:val="5"/>
        </w:numPr>
        <w:spacing w:line="276" w:lineRule="auto"/>
      </w:pPr>
      <w:proofErr w:type="spellStart"/>
      <w:r w:rsidRPr="001D2364">
        <w:rPr>
          <w:b/>
        </w:rPr>
        <w:t>Sanica</w:t>
      </w:r>
      <w:proofErr w:type="spellEnd"/>
      <w:r w:rsidRPr="001D2364">
        <w:rPr>
          <w:b/>
        </w:rPr>
        <w:t xml:space="preserve"> Hungary Kft.</w:t>
      </w:r>
      <w:r w:rsidRPr="001D2364">
        <w:t xml:space="preserve"> (Biatorbágy): a </w:t>
      </w:r>
      <w:proofErr w:type="spellStart"/>
      <w:r w:rsidRPr="001D2364">
        <w:t>Fatinoğlu</w:t>
      </w:r>
      <w:proofErr w:type="spellEnd"/>
      <w:r w:rsidRPr="001D2364">
        <w:t xml:space="preserve"> Holding érdekeltségébe tartozó, 2009 óta Magyarországon működő logisztikai központ elsődlegesen szaniteráruk forgalmazásával foglalkozik</w:t>
      </w:r>
    </w:p>
    <w:p w:rsidR="0097112A" w:rsidRDefault="0097112A" w:rsidP="00654949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6A3E58" w:rsidRDefault="006A3E58" w:rsidP="00654949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 w:rsidRPr="00654949">
        <w:rPr>
          <w:rFonts w:eastAsia="Calibri"/>
          <w:b/>
          <w:u w:val="single"/>
          <w:lang w:eastAsia="en-US"/>
        </w:rPr>
        <w:t>Magyar befektetések Törökországban</w:t>
      </w:r>
    </w:p>
    <w:p w:rsidR="00654949" w:rsidRPr="00654949" w:rsidRDefault="00654949" w:rsidP="00654949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6A3E58" w:rsidRPr="00787474" w:rsidRDefault="006A3E58" w:rsidP="00A3124B">
      <w:pPr>
        <w:spacing w:after="240"/>
        <w:jc w:val="both"/>
        <w:rPr>
          <w:rFonts w:eastAsia="Calibri"/>
        </w:rPr>
      </w:pPr>
      <w:r w:rsidRPr="00787474">
        <w:t xml:space="preserve">Az </w:t>
      </w:r>
      <w:r w:rsidR="0097112A">
        <w:t xml:space="preserve">török központi bank legfrissebb </w:t>
      </w:r>
      <w:r w:rsidRPr="00787474">
        <w:t xml:space="preserve">statisztikája </w:t>
      </w:r>
      <w:r w:rsidR="00D27184" w:rsidRPr="00787474">
        <w:t xml:space="preserve">szerint a </w:t>
      </w:r>
      <w:r w:rsidR="00D27184" w:rsidRPr="00787474">
        <w:rPr>
          <w:b/>
        </w:rPr>
        <w:t>Törökországban befektetett magyar FDI állomány</w:t>
      </w:r>
      <w:r w:rsidR="0097112A">
        <w:t xml:space="preserve"> 2016-ban 32</w:t>
      </w:r>
      <w:r w:rsidR="00D27184" w:rsidRPr="00787474">
        <w:t xml:space="preserve"> millió </w:t>
      </w:r>
      <w:r w:rsidR="00D27184">
        <w:t>USD</w:t>
      </w:r>
      <w:r w:rsidR="00D27184" w:rsidRPr="00787474">
        <w:t xml:space="preserve"> volt</w:t>
      </w:r>
      <w:r w:rsidR="00D27184">
        <w:t>.</w:t>
      </w:r>
      <w:r w:rsidR="00D27184">
        <w:rPr>
          <w:rStyle w:val="Lbjegyzet-hivatkozs"/>
        </w:rPr>
        <w:footnoteReference w:id="1"/>
      </w:r>
      <w:r w:rsidR="00D27184" w:rsidRPr="00787474">
        <w:t xml:space="preserve"> </w:t>
      </w:r>
      <w:r w:rsidRPr="00787474">
        <w:t xml:space="preserve">A kihelyezett tőkében jelentős hányaddal részesedik két befektetési alap, az AEGON </w:t>
      </w:r>
      <w:proofErr w:type="spellStart"/>
      <w:r w:rsidRPr="00787474">
        <w:t>IstanBull</w:t>
      </w:r>
      <w:proofErr w:type="spellEnd"/>
      <w:r w:rsidRPr="00787474">
        <w:t xml:space="preserve"> Részvény Befektetési Alap, valamint az OTP Alapkezelő Török Részvény Alap. E</w:t>
      </w:r>
      <w:r w:rsidRPr="00787474">
        <w:rPr>
          <w:rFonts w:eastAsia="Calibri"/>
        </w:rPr>
        <w:t>zeken a pénzügyi befektetéseken túl a magyar tőkekihelyezés – a rendelkezésre álló korlátozott információk szerint – főként olyan ágazatokban realizálódott, mint pl. üzleti, ügyviteli szolgáltatások, kereskedelem, szállítás.</w:t>
      </w:r>
      <w:r w:rsidRPr="00787474">
        <w:t xml:space="preserve"> </w:t>
      </w:r>
      <w:r w:rsidR="00E701AD">
        <w:t xml:space="preserve">A lista alapján 2016-ban Magyarország volt a 23. legnagyobb európai befektető Törökországban. </w:t>
      </w:r>
      <w:bookmarkStart w:id="2" w:name="_GoBack"/>
      <w:bookmarkEnd w:id="2"/>
    </w:p>
    <w:bookmarkEnd w:id="0"/>
    <w:bookmarkEnd w:id="1"/>
    <w:sectPr w:rsidR="006A3E58" w:rsidRPr="00787474" w:rsidSect="00BA2D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EA" w:rsidRDefault="008412EA" w:rsidP="007D7F32">
      <w:r>
        <w:separator/>
      </w:r>
    </w:p>
  </w:endnote>
  <w:endnote w:type="continuationSeparator" w:id="0">
    <w:p w:rsidR="008412EA" w:rsidRDefault="008412EA" w:rsidP="007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2A" w:rsidRPr="006C13DE" w:rsidRDefault="00F4192A" w:rsidP="007D7F32">
    <w:pPr>
      <w:tabs>
        <w:tab w:val="left" w:pos="9072"/>
      </w:tabs>
      <w:jc w:val="both"/>
      <w:rPr>
        <w:sz w:val="18"/>
        <w:szCs w:val="18"/>
        <w:u w:val="single"/>
      </w:rPr>
    </w:pPr>
    <w:r>
      <w:rPr>
        <w:sz w:val="18"/>
        <w:szCs w:val="18"/>
        <w:u w:val="single"/>
      </w:rPr>
      <w:tab/>
    </w:r>
  </w:p>
  <w:p w:rsidR="00F4192A" w:rsidRPr="00E05B84" w:rsidRDefault="00F4192A" w:rsidP="007D7F32">
    <w:pPr>
      <w:jc w:val="center"/>
      <w:rPr>
        <w:sz w:val="18"/>
        <w:szCs w:val="18"/>
        <w:lang w:val="tr-TR"/>
      </w:rPr>
    </w:pPr>
    <w:r>
      <w:rPr>
        <w:sz w:val="18"/>
        <w:szCs w:val="18"/>
      </w:rPr>
      <w:t xml:space="preserve">Magyarország Nagykövetsége, Ankara, </w:t>
    </w:r>
    <w:proofErr w:type="spellStart"/>
    <w:r>
      <w:rPr>
        <w:sz w:val="18"/>
        <w:szCs w:val="18"/>
      </w:rPr>
      <w:t>Layoş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Koşut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Caddesi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No</w:t>
    </w:r>
    <w:proofErr w:type="gramEnd"/>
    <w:r>
      <w:rPr>
        <w:sz w:val="18"/>
        <w:szCs w:val="18"/>
      </w:rPr>
      <w:t xml:space="preserve">. 2. Ankara, 06550 </w:t>
    </w:r>
  </w:p>
  <w:p w:rsidR="00F4192A" w:rsidRDefault="00F4192A" w:rsidP="00E05B84">
    <w:pPr>
      <w:pStyle w:val="llb"/>
      <w:jc w:val="center"/>
      <w:rPr>
        <w:sz w:val="18"/>
        <w:szCs w:val="18"/>
      </w:rPr>
    </w:pPr>
    <w:r w:rsidRPr="00AD0BDF">
      <w:rPr>
        <w:sz w:val="18"/>
        <w:szCs w:val="18"/>
      </w:rPr>
      <w:t xml:space="preserve">Tel: </w:t>
    </w:r>
    <w:r>
      <w:rPr>
        <w:sz w:val="18"/>
        <w:szCs w:val="18"/>
      </w:rPr>
      <w:t>+90 312 405 8060 Fax: +90 312 405 8933</w:t>
    </w:r>
  </w:p>
  <w:p w:rsidR="00F4192A" w:rsidRPr="007D7F32" w:rsidRDefault="00F4192A" w:rsidP="00E05B84">
    <w:pPr>
      <w:pStyle w:val="llb"/>
      <w:jc w:val="center"/>
      <w:rPr>
        <w:sz w:val="18"/>
        <w:szCs w:val="18"/>
      </w:rPr>
    </w:pPr>
    <w:r>
      <w:rPr>
        <w:sz w:val="18"/>
        <w:szCs w:val="18"/>
      </w:rPr>
      <w:t>E-mail: mission.ank@mfa.gov.hu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EA" w:rsidRDefault="008412EA" w:rsidP="007D7F32">
      <w:r>
        <w:separator/>
      </w:r>
    </w:p>
  </w:footnote>
  <w:footnote w:type="continuationSeparator" w:id="0">
    <w:p w:rsidR="008412EA" w:rsidRDefault="008412EA" w:rsidP="007D7F32">
      <w:r>
        <w:continuationSeparator/>
      </w:r>
    </w:p>
  </w:footnote>
  <w:footnote w:id="1">
    <w:p w:rsidR="00F4192A" w:rsidRPr="00FF46F9" w:rsidRDefault="00F4192A" w:rsidP="00D2718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F46F9">
        <w:t>http://www.tcmb.gov.tr/wps/wcm/connect/TCMB+EN/TCMB+EN/Main+Menu/STATISTICS/Balance+of+Payments+and+Related+Statistics/International+Investment+Position/Data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2A" w:rsidRDefault="00F4192A" w:rsidP="007D7F32">
    <w:pPr>
      <w:pStyle w:val="lfej"/>
      <w:jc w:val="center"/>
    </w:pPr>
    <w:r>
      <w:rPr>
        <w:noProof/>
      </w:rPr>
      <w:drawing>
        <wp:inline distT="0" distB="0" distL="0" distR="0" wp14:anchorId="1B0FD111" wp14:editId="1B0FD112">
          <wp:extent cx="315883" cy="658800"/>
          <wp:effectExtent l="0" t="0" r="8255" b="8255"/>
          <wp:docPr id="1" name="Kép 1" descr="http://intranet.bud.kum.local/KUM/Arculat/Documents/Címer/címer%20-%20fek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bud.kum.local/KUM/Arculat/Documents/Címer/címer%20-%20fek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83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92A" w:rsidRDefault="00F4192A" w:rsidP="007D7F32">
    <w:pPr>
      <w:jc w:val="center"/>
      <w:rPr>
        <w:b/>
      </w:rPr>
    </w:pPr>
    <w:r w:rsidRPr="005B294C">
      <w:rPr>
        <w:b/>
      </w:rPr>
      <w:t xml:space="preserve">KÜLGAZDASÁGI </w:t>
    </w:r>
    <w:proofErr w:type="gramStart"/>
    <w:r w:rsidRPr="005B294C">
      <w:rPr>
        <w:b/>
      </w:rPr>
      <w:t>ÉS</w:t>
    </w:r>
    <w:proofErr w:type="gramEnd"/>
    <w:r w:rsidRPr="005B294C">
      <w:rPr>
        <w:b/>
      </w:rPr>
      <w:t xml:space="preserve"> KÜLÜGYMINISZTÉRIUM</w:t>
    </w:r>
  </w:p>
  <w:p w:rsidR="00F4192A" w:rsidRDefault="00F4192A" w:rsidP="00E05B84">
    <w:pPr>
      <w:pStyle w:val="lfej"/>
      <w:jc w:val="center"/>
    </w:pPr>
    <w:r>
      <w:t>MAGYARORSZÁG NAGYKÖVETSÉGE, ANKARA</w:t>
    </w:r>
  </w:p>
  <w:p w:rsidR="00F4192A" w:rsidRDefault="00F4192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7ED"/>
    <w:multiLevelType w:val="hybridMultilevel"/>
    <w:tmpl w:val="2B083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54E"/>
    <w:multiLevelType w:val="hybridMultilevel"/>
    <w:tmpl w:val="FC18CDAC"/>
    <w:lvl w:ilvl="0" w:tplc="040E000F">
      <w:start w:val="1"/>
      <w:numFmt w:val="decimal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" w15:restartNumberingAfterBreak="0">
    <w:nsid w:val="5E6A5A75"/>
    <w:multiLevelType w:val="hybridMultilevel"/>
    <w:tmpl w:val="C6A8A286"/>
    <w:lvl w:ilvl="0" w:tplc="3B30243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939FA"/>
    <w:multiLevelType w:val="hybridMultilevel"/>
    <w:tmpl w:val="F47C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3460"/>
    <w:multiLevelType w:val="hybridMultilevel"/>
    <w:tmpl w:val="0F94000A"/>
    <w:lvl w:ilvl="0" w:tplc="3B302436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4"/>
    <w:rsid w:val="00010DD1"/>
    <w:rsid w:val="000233FB"/>
    <w:rsid w:val="0003333A"/>
    <w:rsid w:val="00042D03"/>
    <w:rsid w:val="00054D2A"/>
    <w:rsid w:val="00056F4C"/>
    <w:rsid w:val="000E0F0B"/>
    <w:rsid w:val="000E1073"/>
    <w:rsid w:val="00100C24"/>
    <w:rsid w:val="00111035"/>
    <w:rsid w:val="00112F17"/>
    <w:rsid w:val="00114D56"/>
    <w:rsid w:val="001323BC"/>
    <w:rsid w:val="0013366C"/>
    <w:rsid w:val="001557B0"/>
    <w:rsid w:val="0016475F"/>
    <w:rsid w:val="001700A9"/>
    <w:rsid w:val="001B4E58"/>
    <w:rsid w:val="001D08D4"/>
    <w:rsid w:val="001F2936"/>
    <w:rsid w:val="001F5138"/>
    <w:rsid w:val="0022629E"/>
    <w:rsid w:val="00280975"/>
    <w:rsid w:val="00295C43"/>
    <w:rsid w:val="00297BBD"/>
    <w:rsid w:val="002A6D5E"/>
    <w:rsid w:val="002B5AE7"/>
    <w:rsid w:val="002C5987"/>
    <w:rsid w:val="002D7A35"/>
    <w:rsid w:val="00302C11"/>
    <w:rsid w:val="00305395"/>
    <w:rsid w:val="003101B2"/>
    <w:rsid w:val="00326120"/>
    <w:rsid w:val="003652B4"/>
    <w:rsid w:val="003A07FC"/>
    <w:rsid w:val="003A471B"/>
    <w:rsid w:val="003F096D"/>
    <w:rsid w:val="003F0F78"/>
    <w:rsid w:val="004011AF"/>
    <w:rsid w:val="0040165C"/>
    <w:rsid w:val="00422430"/>
    <w:rsid w:val="00437532"/>
    <w:rsid w:val="00473D11"/>
    <w:rsid w:val="00482FB4"/>
    <w:rsid w:val="00492DAF"/>
    <w:rsid w:val="004965A3"/>
    <w:rsid w:val="004C3557"/>
    <w:rsid w:val="004C5D84"/>
    <w:rsid w:val="004C64C4"/>
    <w:rsid w:val="004C7FAC"/>
    <w:rsid w:val="004E2ECA"/>
    <w:rsid w:val="0050527D"/>
    <w:rsid w:val="00506364"/>
    <w:rsid w:val="005317AC"/>
    <w:rsid w:val="005331D2"/>
    <w:rsid w:val="00545D4C"/>
    <w:rsid w:val="0055049E"/>
    <w:rsid w:val="005624F3"/>
    <w:rsid w:val="00562905"/>
    <w:rsid w:val="0056579E"/>
    <w:rsid w:val="00572FED"/>
    <w:rsid w:val="00576770"/>
    <w:rsid w:val="00576C93"/>
    <w:rsid w:val="00591667"/>
    <w:rsid w:val="005B6328"/>
    <w:rsid w:val="005D0AA2"/>
    <w:rsid w:val="00610FEF"/>
    <w:rsid w:val="00654949"/>
    <w:rsid w:val="00654A12"/>
    <w:rsid w:val="00687542"/>
    <w:rsid w:val="00692EF6"/>
    <w:rsid w:val="006A3E58"/>
    <w:rsid w:val="006B1363"/>
    <w:rsid w:val="007472BE"/>
    <w:rsid w:val="00751E1D"/>
    <w:rsid w:val="007535E7"/>
    <w:rsid w:val="00763887"/>
    <w:rsid w:val="007820DB"/>
    <w:rsid w:val="007D28DE"/>
    <w:rsid w:val="007D2E13"/>
    <w:rsid w:val="007D7C05"/>
    <w:rsid w:val="007D7F32"/>
    <w:rsid w:val="007F17A6"/>
    <w:rsid w:val="0080040A"/>
    <w:rsid w:val="00802F50"/>
    <w:rsid w:val="0083538D"/>
    <w:rsid w:val="008412EA"/>
    <w:rsid w:val="0084483F"/>
    <w:rsid w:val="0085286B"/>
    <w:rsid w:val="00852AC1"/>
    <w:rsid w:val="00855FA7"/>
    <w:rsid w:val="0086190B"/>
    <w:rsid w:val="0087369E"/>
    <w:rsid w:val="00874891"/>
    <w:rsid w:val="00894AFE"/>
    <w:rsid w:val="008B7D7D"/>
    <w:rsid w:val="008C1D0A"/>
    <w:rsid w:val="008C64C9"/>
    <w:rsid w:val="00955796"/>
    <w:rsid w:val="0097112A"/>
    <w:rsid w:val="009761C7"/>
    <w:rsid w:val="00995ADD"/>
    <w:rsid w:val="009A6852"/>
    <w:rsid w:val="009B0174"/>
    <w:rsid w:val="009D0283"/>
    <w:rsid w:val="009F130F"/>
    <w:rsid w:val="00A3124B"/>
    <w:rsid w:val="00A331E2"/>
    <w:rsid w:val="00A569F4"/>
    <w:rsid w:val="00A63B23"/>
    <w:rsid w:val="00A6586A"/>
    <w:rsid w:val="00A86054"/>
    <w:rsid w:val="00A92F89"/>
    <w:rsid w:val="00AB72EC"/>
    <w:rsid w:val="00AE18B0"/>
    <w:rsid w:val="00AE52A0"/>
    <w:rsid w:val="00B109C9"/>
    <w:rsid w:val="00B1214A"/>
    <w:rsid w:val="00B21033"/>
    <w:rsid w:val="00B23F9E"/>
    <w:rsid w:val="00B7230E"/>
    <w:rsid w:val="00B81091"/>
    <w:rsid w:val="00B8562C"/>
    <w:rsid w:val="00B93AF5"/>
    <w:rsid w:val="00B959CA"/>
    <w:rsid w:val="00BA2DFA"/>
    <w:rsid w:val="00BB18E5"/>
    <w:rsid w:val="00BB202B"/>
    <w:rsid w:val="00BD385F"/>
    <w:rsid w:val="00BD6322"/>
    <w:rsid w:val="00BF3BAF"/>
    <w:rsid w:val="00C05752"/>
    <w:rsid w:val="00C14991"/>
    <w:rsid w:val="00C1700A"/>
    <w:rsid w:val="00C26F09"/>
    <w:rsid w:val="00C26F18"/>
    <w:rsid w:val="00C3130E"/>
    <w:rsid w:val="00C32B17"/>
    <w:rsid w:val="00C55C9A"/>
    <w:rsid w:val="00C565D7"/>
    <w:rsid w:val="00C6446D"/>
    <w:rsid w:val="00C65D88"/>
    <w:rsid w:val="00C7719F"/>
    <w:rsid w:val="00C85150"/>
    <w:rsid w:val="00C867DE"/>
    <w:rsid w:val="00C86A0B"/>
    <w:rsid w:val="00C947B1"/>
    <w:rsid w:val="00CB5024"/>
    <w:rsid w:val="00D2253D"/>
    <w:rsid w:val="00D27184"/>
    <w:rsid w:val="00D53140"/>
    <w:rsid w:val="00D709DE"/>
    <w:rsid w:val="00DC7328"/>
    <w:rsid w:val="00DD6FAA"/>
    <w:rsid w:val="00E05B84"/>
    <w:rsid w:val="00E103F3"/>
    <w:rsid w:val="00E475B0"/>
    <w:rsid w:val="00E54F47"/>
    <w:rsid w:val="00E56E16"/>
    <w:rsid w:val="00E701AD"/>
    <w:rsid w:val="00E773E2"/>
    <w:rsid w:val="00E8063F"/>
    <w:rsid w:val="00E972DF"/>
    <w:rsid w:val="00EB3D25"/>
    <w:rsid w:val="00ED2C58"/>
    <w:rsid w:val="00ED79E9"/>
    <w:rsid w:val="00EE3192"/>
    <w:rsid w:val="00F0287B"/>
    <w:rsid w:val="00F04942"/>
    <w:rsid w:val="00F054AA"/>
    <w:rsid w:val="00F075BD"/>
    <w:rsid w:val="00F256DF"/>
    <w:rsid w:val="00F4192A"/>
    <w:rsid w:val="00F51795"/>
    <w:rsid w:val="00F51E6F"/>
    <w:rsid w:val="00F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D7F32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D7F32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Lisacmsor">
    <w:name w:val="Lisa címsor"/>
    <w:basedOn w:val="Cmsor2"/>
    <w:link w:val="LisacmsorChar"/>
    <w:uiPriority w:val="99"/>
    <w:qFormat/>
    <w:rsid w:val="007D7F32"/>
    <w:pPr>
      <w:ind w:left="4963"/>
    </w:pPr>
    <w:rPr>
      <w:rFonts w:ascii="Times New Roman" w:hAnsi="Times New Roman"/>
      <w:b/>
      <w:szCs w:val="24"/>
    </w:rPr>
  </w:style>
  <w:style w:type="character" w:customStyle="1" w:styleId="LisacmsorChar">
    <w:name w:val="Lisa címsor Char"/>
    <w:basedOn w:val="Cmsor2Char"/>
    <w:link w:val="Lisacmsor"/>
    <w:uiPriority w:val="99"/>
    <w:rsid w:val="007D7F32"/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7F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F32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7F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7F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7F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7F32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D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Dot pt,No Spacing1,List Paragraph Char Char Char,Indicator Text,Numbered Para 1,List Paragraph à moi,LISTA,Colorful List Accent 1,Színes lista – 1. jelölőszín1,Listaszerű bekezdés11,Colorful List - Accent 11,Listaszerű bekezdés1"/>
    <w:basedOn w:val="Norml"/>
    <w:link w:val="ListaszerbekezdsChar"/>
    <w:uiPriority w:val="34"/>
    <w:qFormat/>
    <w:rsid w:val="007D7C05"/>
    <w:pPr>
      <w:ind w:left="720"/>
      <w:contextualSpacing/>
    </w:pPr>
  </w:style>
  <w:style w:type="paragraph" w:styleId="Lbjegyzetszveg">
    <w:name w:val="footnote text"/>
    <w:aliases w:val="labjegyzet_szo,Fußnotentext Char2,Fußnotentext Char Char1,Fußnotentext Char1 Char1 Char,Fußnotentext Char Char Char Char Char,Fußnotentext Char1 Char Char Char Char1,Fußnotentext Char Char Char,Footnote Text Imre,(FRA) Footnote text"/>
    <w:basedOn w:val="Norml"/>
    <w:link w:val="LbjegyzetszvegChar"/>
    <w:uiPriority w:val="99"/>
    <w:unhideWhenUsed/>
    <w:qFormat/>
    <w:rsid w:val="00B21033"/>
    <w:rPr>
      <w:rFonts w:ascii="Calibri" w:eastAsia="Calibri" w:hAnsi="Calibri"/>
      <w:sz w:val="20"/>
      <w:szCs w:val="20"/>
      <w:lang w:val="x-none" w:eastAsia="x-none"/>
    </w:rPr>
  </w:style>
  <w:style w:type="character" w:customStyle="1" w:styleId="LbjegyzetszvegChar">
    <w:name w:val="Lábjegyzetszöveg Char"/>
    <w:aliases w:val="labjegyzet_szo Char,Fußnotentext Char2 Char,Fußnotentext Char Char1 Char,Fußnotentext Char1 Char1 Char Char,Fußnotentext Char Char Char Char Char Char,Fußnotentext Char1 Char Char Char Char1 Char,Fußnotentext Char Char Char Char"/>
    <w:basedOn w:val="Bekezdsalapbettpusa"/>
    <w:link w:val="Lbjegyzetszveg"/>
    <w:uiPriority w:val="99"/>
    <w:rsid w:val="00B2103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Lbjegyzet-hivatkozs">
    <w:name w:val="footnote reference"/>
    <w:aliases w:val="Footnote symbol,Char Char,Char1,Char,Footnote number,SUPERS,Footnote Reference Superscript,BVI fnr,Footnote,richiamo note eggsi,Footnote Reference Number,Footnotes refss,Footnote Reference in text,Footnote Refernece,Footnote sign"/>
    <w:uiPriority w:val="99"/>
    <w:unhideWhenUsed/>
    <w:qFormat/>
    <w:rsid w:val="00B21033"/>
    <w:rPr>
      <w:vertAlign w:val="superscript"/>
    </w:rPr>
  </w:style>
  <w:style w:type="character" w:styleId="Hiperhivatkozs">
    <w:name w:val="Hyperlink"/>
    <w:uiPriority w:val="99"/>
    <w:unhideWhenUsed/>
    <w:rsid w:val="00763887"/>
    <w:rPr>
      <w:color w:val="0000FF"/>
      <w:u w:val="single"/>
    </w:rPr>
  </w:style>
  <w:style w:type="character" w:styleId="Kiemels2">
    <w:name w:val="Strong"/>
    <w:uiPriority w:val="22"/>
    <w:qFormat/>
    <w:rsid w:val="00763887"/>
    <w:rPr>
      <w:b/>
      <w:bCs/>
    </w:rPr>
  </w:style>
  <w:style w:type="paragraph" w:styleId="NormlWeb">
    <w:name w:val="Normal (Web)"/>
    <w:basedOn w:val="Norml"/>
    <w:uiPriority w:val="99"/>
    <w:unhideWhenUsed/>
    <w:rsid w:val="001700A9"/>
    <w:pPr>
      <w:spacing w:before="100" w:beforeAutospacing="1" w:after="100" w:afterAutospacing="1"/>
    </w:pPr>
  </w:style>
  <w:style w:type="paragraph" w:styleId="Csakszveg">
    <w:name w:val="Plain Text"/>
    <w:basedOn w:val="Norml"/>
    <w:link w:val="CsakszvegChar"/>
    <w:uiPriority w:val="99"/>
    <w:unhideWhenUsed/>
    <w:rsid w:val="005767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76770"/>
    <w:rPr>
      <w:rFonts w:ascii="Calibri" w:hAnsi="Calibri"/>
      <w:szCs w:val="21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Colorful List Accent 1 Char,Színes lista – 1. jelölőszín1 Char"/>
    <w:link w:val="Listaszerbekezds"/>
    <w:uiPriority w:val="34"/>
    <w:qFormat/>
    <w:locked/>
    <w:rsid w:val="000333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4C7FAC"/>
    <w:pPr>
      <w:spacing w:after="200"/>
    </w:pPr>
    <w:rPr>
      <w:i/>
      <w:iCs/>
      <w:color w:val="1F497D" w:themeColor="text2"/>
      <w:sz w:val="18"/>
      <w:szCs w:val="18"/>
    </w:rPr>
  </w:style>
  <w:style w:type="table" w:styleId="Tblzategyszer5">
    <w:name w:val="Plain Table 5"/>
    <w:basedOn w:val="Normltblzat"/>
    <w:uiPriority w:val="45"/>
    <w:rsid w:val="00F419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egyszer3">
    <w:name w:val="Plain Table 3"/>
    <w:basedOn w:val="Normltblzat"/>
    <w:uiPriority w:val="43"/>
    <w:rsid w:val="002809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2809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2809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8004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04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0040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04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040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batizi\Downloads\Statinfo_export%20(1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batizi\Downloads\Statinfo_export%20(3)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Magyar - Török áruforgalom alakulása</a:t>
            </a:r>
          </a:p>
          <a:p>
            <a:pPr>
              <a:defRPr/>
            </a:pPr>
            <a:r>
              <a:rPr lang="hu-HU"/>
              <a:t>(2013-2016)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'[Statinfo_export (1).xls]Munka4'!$A$7</c:f>
              <c:strCache>
                <c:ptCount val="1"/>
                <c:pt idx="0">
                  <c:v>export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'[Statinfo_export (1).xls]Munka4'!$B$6:$E$6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'[Statinfo_export (1).xls]Munka4'!$B$7:$E$7</c:f>
              <c:numCache>
                <c:formatCode>#,##0</c:formatCode>
                <c:ptCount val="4"/>
                <c:pt idx="0">
                  <c:v>1420184357</c:v>
                </c:pt>
                <c:pt idx="1">
                  <c:v>1591704301</c:v>
                </c:pt>
                <c:pt idx="2">
                  <c:v>1841281392</c:v>
                </c:pt>
                <c:pt idx="3">
                  <c:v>1789429515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9D-4EAA-9B69-D38AC89B3836}"/>
            </c:ext>
          </c:extLst>
        </c:ser>
        <c:ser>
          <c:idx val="1"/>
          <c:order val="1"/>
          <c:tx>
            <c:strRef>
              <c:f>'[Statinfo_export (1).xls]Munka4'!$A$8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'[Statinfo_export (1).xls]Munka4'!$B$6:$E$6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'[Statinfo_export (1).xls]Munka4'!$B$8:$E$8</c:f>
              <c:numCache>
                <c:formatCode>#,##0</c:formatCode>
                <c:ptCount val="4"/>
                <c:pt idx="0">
                  <c:v>550510942</c:v>
                </c:pt>
                <c:pt idx="1">
                  <c:v>521197522</c:v>
                </c:pt>
                <c:pt idx="2">
                  <c:v>692852050</c:v>
                </c:pt>
                <c:pt idx="3">
                  <c:v>695450599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9D-4EAA-9B69-D38AC89B3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99907808"/>
        <c:axId val="299908200"/>
      </c:barChart>
      <c:lineChart>
        <c:grouping val="standard"/>
        <c:varyColors val="0"/>
        <c:ser>
          <c:idx val="2"/>
          <c:order val="2"/>
          <c:tx>
            <c:strRef>
              <c:f>'[Statinfo_export (1).xls]Munka4'!$A$9</c:f>
              <c:strCache>
                <c:ptCount val="1"/>
                <c:pt idx="0">
                  <c:v>áruforgalom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'[Statinfo_export (1).xls]Munka4'!$B$6:$E$6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'[Statinfo_export (1).xls]Munka4'!$B$9:$E$9</c:f>
              <c:numCache>
                <c:formatCode>#,##0</c:formatCode>
                <c:ptCount val="4"/>
                <c:pt idx="0">
                  <c:v>1970697312</c:v>
                </c:pt>
                <c:pt idx="1">
                  <c:v>2112903837</c:v>
                </c:pt>
                <c:pt idx="2">
                  <c:v>2534135457</c:v>
                </c:pt>
                <c:pt idx="3">
                  <c:v>2484882130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C9D-4EAA-9B69-D38AC89B3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9907808"/>
        <c:axId val="299908200"/>
      </c:lineChart>
      <c:catAx>
        <c:axId val="29990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9908200"/>
        <c:crosses val="autoZero"/>
        <c:auto val="1"/>
        <c:lblAlgn val="ctr"/>
        <c:lblOffset val="100"/>
        <c:noMultiLvlLbl val="0"/>
      </c:catAx>
      <c:valAx>
        <c:axId val="29990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990780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2.2111663902708679E-2"/>
                <c:y val="0.40824074074074074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US"/>
                    <a:t>millió</a:t>
                  </a:r>
                  <a:r>
                    <a:rPr lang="hu-HU"/>
                    <a:t> EUR</a:t>
                  </a:r>
                  <a:endParaRPr lang="en-US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'[Statinfo_export (3).xls]KAB030'!$B$7</c:f>
              <c:strCache>
                <c:ptCount val="1"/>
                <c:pt idx="0">
                  <c:v>2014.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'[Statinfo_export (3).xls]KAB030'!$A$8:$A$13</c:f>
              <c:strCache>
                <c:ptCount val="6"/>
                <c:pt idx="0">
                  <c:v>Élelmiszerek, italok, dohány</c:v>
                </c:pt>
                <c:pt idx="1">
                  <c:v>Nyersanyagok</c:v>
                </c:pt>
                <c:pt idx="2">
                  <c:v>Energiahordozók</c:v>
                </c:pt>
                <c:pt idx="3">
                  <c:v>Feldolgozott termékek</c:v>
                </c:pt>
                <c:pt idx="4">
                  <c:v>Gépek és szállítóeszközök</c:v>
                </c:pt>
                <c:pt idx="5">
                  <c:v>Teljes export</c:v>
                </c:pt>
              </c:strCache>
            </c:strRef>
          </c:cat>
          <c:val>
            <c:numRef>
              <c:f>'[Statinfo_export (3).xls]KAB030'!$B$8:$B$13</c:f>
              <c:numCache>
                <c:formatCode>0</c:formatCode>
                <c:ptCount val="6"/>
                <c:pt idx="0">
                  <c:v>19717600</c:v>
                </c:pt>
                <c:pt idx="1">
                  <c:v>23186522</c:v>
                </c:pt>
                <c:pt idx="2">
                  <c:v>13723664</c:v>
                </c:pt>
                <c:pt idx="3">
                  <c:v>368352037</c:v>
                </c:pt>
                <c:pt idx="4">
                  <c:v>1166724478</c:v>
                </c:pt>
                <c:pt idx="5">
                  <c:v>1591704301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F0-4877-A57D-D7645A638C60}"/>
            </c:ext>
          </c:extLst>
        </c:ser>
        <c:ser>
          <c:idx val="1"/>
          <c:order val="1"/>
          <c:tx>
            <c:strRef>
              <c:f>'[Statinfo_export (3).xls]KAB030'!$C$7</c:f>
              <c:strCache>
                <c:ptCount val="1"/>
                <c:pt idx="0">
                  <c:v>2015.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'[Statinfo_export (3).xls]KAB030'!$A$8:$A$13</c:f>
              <c:strCache>
                <c:ptCount val="6"/>
                <c:pt idx="0">
                  <c:v>Élelmiszerek, italok, dohány</c:v>
                </c:pt>
                <c:pt idx="1">
                  <c:v>Nyersanyagok</c:v>
                </c:pt>
                <c:pt idx="2">
                  <c:v>Energiahordozók</c:v>
                </c:pt>
                <c:pt idx="3">
                  <c:v>Feldolgozott termékek</c:v>
                </c:pt>
                <c:pt idx="4">
                  <c:v>Gépek és szállítóeszközök</c:v>
                </c:pt>
                <c:pt idx="5">
                  <c:v>Teljes export</c:v>
                </c:pt>
              </c:strCache>
            </c:strRef>
          </c:cat>
          <c:val>
            <c:numRef>
              <c:f>'[Statinfo_export (3).xls]KAB030'!$C$8:$C$13</c:f>
              <c:numCache>
                <c:formatCode>0</c:formatCode>
                <c:ptCount val="6"/>
                <c:pt idx="0">
                  <c:v>65296168</c:v>
                </c:pt>
                <c:pt idx="1">
                  <c:v>11010234</c:v>
                </c:pt>
                <c:pt idx="2">
                  <c:v>7386648</c:v>
                </c:pt>
                <c:pt idx="3">
                  <c:v>425168474</c:v>
                </c:pt>
                <c:pt idx="4">
                  <c:v>1332419868</c:v>
                </c:pt>
                <c:pt idx="5">
                  <c:v>1841281392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F0-4877-A57D-D7645A638C60}"/>
            </c:ext>
          </c:extLst>
        </c:ser>
        <c:ser>
          <c:idx val="2"/>
          <c:order val="2"/>
          <c:tx>
            <c:strRef>
              <c:f>'[Statinfo_export (3).xls]KAB030'!$D$7</c:f>
              <c:strCache>
                <c:ptCount val="1"/>
                <c:pt idx="0">
                  <c:v>2016.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'[Statinfo_export (3).xls]KAB030'!$A$8:$A$13</c:f>
              <c:strCache>
                <c:ptCount val="6"/>
                <c:pt idx="0">
                  <c:v>Élelmiszerek, italok, dohány</c:v>
                </c:pt>
                <c:pt idx="1">
                  <c:v>Nyersanyagok</c:v>
                </c:pt>
                <c:pt idx="2">
                  <c:v>Energiahordozók</c:v>
                </c:pt>
                <c:pt idx="3">
                  <c:v>Feldolgozott termékek</c:v>
                </c:pt>
                <c:pt idx="4">
                  <c:v>Gépek és szállítóeszközök</c:v>
                </c:pt>
                <c:pt idx="5">
                  <c:v>Teljes export</c:v>
                </c:pt>
              </c:strCache>
            </c:strRef>
          </c:cat>
          <c:val>
            <c:numRef>
              <c:f>'[Statinfo_export (3).xls]KAB030'!$D$8:$D$13</c:f>
              <c:numCache>
                <c:formatCode>0</c:formatCode>
                <c:ptCount val="6"/>
                <c:pt idx="0">
                  <c:v>101694892</c:v>
                </c:pt>
                <c:pt idx="1">
                  <c:v>20727260</c:v>
                </c:pt>
                <c:pt idx="2">
                  <c:v>8733120</c:v>
                </c:pt>
                <c:pt idx="3">
                  <c:v>428544219</c:v>
                </c:pt>
                <c:pt idx="4">
                  <c:v>1229730024</c:v>
                </c:pt>
                <c:pt idx="5">
                  <c:v>1789429515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F0-4877-A57D-D7645A638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99910160"/>
        <c:axId val="299907024"/>
      </c:barChart>
      <c:catAx>
        <c:axId val="29991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9907024"/>
        <c:crosses val="autoZero"/>
        <c:auto val="1"/>
        <c:lblAlgn val="ctr"/>
        <c:lblOffset val="100"/>
        <c:noMultiLvlLbl val="0"/>
      </c:catAx>
      <c:valAx>
        <c:axId val="29990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99910160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9841294838145229E-2"/>
                <c:y val="0.1070943660961897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u-HU"/>
                    <a:t>millió EUR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</c:dispUnitsLbl>
        </c:dispUnits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14F0B88C36A7F48A87BE8C7B64B5086" ma:contentTypeVersion="1" ma:contentTypeDescription="Új dokumentum létrehozása." ma:contentTypeScope="" ma:versionID="f93cf3fa03278ebabdb8a341d47d9e9f">
  <xsd:schema xmlns:xsd="http://www.w3.org/2001/XMLSchema" xmlns:xs="http://www.w3.org/2001/XMLSchema" xmlns:p="http://schemas.microsoft.com/office/2006/metadata/properties" xmlns:ns2="82a2514a-42b1-4203-b49e-4ce6a0f95af4" targetNamespace="http://schemas.microsoft.com/office/2006/metadata/properties" ma:root="true" ma:fieldsID="6c6039a28d1c05f8c3382637d3d53c92" ns2:_="">
    <xsd:import namespace="82a2514a-42b1-4203-b49e-4ce6a0f95af4"/>
    <xsd:element name="properties">
      <xsd:complexType>
        <xsd:sequence>
          <xsd:element name="documentManagement">
            <xsd:complexType>
              <xsd:all>
                <xsd:element ref="ns2:Item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2514a-42b1-4203-b49e-4ce6a0f95af4" elementFormDefault="qualified">
    <xsd:import namespace="http://schemas.microsoft.com/office/2006/documentManagement/types"/>
    <xsd:import namespace="http://schemas.microsoft.com/office/infopath/2007/PartnerControls"/>
    <xsd:element name="ItemDate" ma:index="8" nillable="true" ma:displayName="Dátum" ma:default="[today]" ma:format="DateOnly" ma:internalName="Item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Date xmlns="82a2514a-42b1-4203-b49e-4ce6a0f95af4">2015-12-28T23:00:00+00:00</Item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0020C-2F5C-498D-B30A-52362AFA1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2514a-42b1-4203-b49e-4ce6a0f95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B257C-27F2-44B0-B2A6-8D5BE4C903A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a2514a-42b1-4203-b49e-4ce6a0f95a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78EC73-DF6C-4FB8-963F-EB39725B2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1404</Words>
  <Characters>9688</Characters>
  <Application>Microsoft Office Word</Application>
  <DocSecurity>4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Scripta irat sablon - 8/2015. KÁT körlevélhez</vt:lpstr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Scripta irat sablon - 8/2015. KÁT körlevélhez</dc:title>
  <dc:creator>Mátis Viktor</dc:creator>
  <cp:lastModifiedBy>Szekeres Anna</cp:lastModifiedBy>
  <cp:revision>2</cp:revision>
  <cp:lastPrinted>2015-12-21T13:32:00Z</cp:lastPrinted>
  <dcterms:created xsi:type="dcterms:W3CDTF">2017-12-08T08:17:00Z</dcterms:created>
  <dcterms:modified xsi:type="dcterms:W3CDTF">2017-12-08T08:17:00Z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0x010100814F0B88C36A7F48A87BE8C7B64B5086</vt:lpwstr>
  </property>
</Properties>
</file>