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F" w:rsidRPr="000812F3" w:rsidRDefault="000812F3" w:rsidP="000812F3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0812F3">
        <w:rPr>
          <w:b/>
          <w:sz w:val="24"/>
          <w:szCs w:val="24"/>
        </w:rPr>
        <w:t>Borsod-Abaúj-Zemplén megyei</w:t>
      </w:r>
    </w:p>
    <w:p w:rsidR="000812F3" w:rsidRDefault="000812F3" w:rsidP="000812F3">
      <w:pPr>
        <w:spacing w:after="0"/>
        <w:rPr>
          <w:b/>
          <w:sz w:val="24"/>
          <w:szCs w:val="24"/>
        </w:rPr>
      </w:pPr>
      <w:r w:rsidRPr="000812F3">
        <w:rPr>
          <w:b/>
          <w:sz w:val="24"/>
          <w:szCs w:val="24"/>
        </w:rPr>
        <w:t>Kereskedelmi és Iparkamara</w:t>
      </w: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Tájékoztatás a Borsod-Abaúj-Zemplén megyei kereskedelem és vendéglátóipar helyzetéről </w:t>
      </w: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</w:p>
    <w:p w:rsidR="000812F3" w:rsidRDefault="000812F3" w:rsidP="000812F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Miskolc, 201</w:t>
      </w:r>
      <w:r w:rsidR="00F9483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 június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Bihall Tamás</w:t>
      </w:r>
    </w:p>
    <w:p w:rsidR="000812F3" w:rsidRDefault="000812F3" w:rsidP="000812F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elnök</w:t>
      </w:r>
    </w:p>
    <w:p w:rsidR="00402FA9" w:rsidRDefault="00402FA9" w:rsidP="000812F3">
      <w:pPr>
        <w:spacing w:after="0"/>
        <w:rPr>
          <w:b/>
          <w:sz w:val="24"/>
          <w:szCs w:val="24"/>
        </w:rPr>
      </w:pPr>
    </w:p>
    <w:p w:rsidR="00402FA9" w:rsidRDefault="00402FA9" w:rsidP="000812F3">
      <w:pPr>
        <w:spacing w:after="0"/>
        <w:rPr>
          <w:b/>
          <w:sz w:val="24"/>
          <w:szCs w:val="24"/>
        </w:rPr>
      </w:pPr>
    </w:p>
    <w:p w:rsidR="00AA16C1" w:rsidRDefault="00AA16C1" w:rsidP="00AA16C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Tájékoztatás a Borsod-Abaúj-Zemplén megyei kereskedelem és vendéglátóipar helyzetéről </w:t>
      </w:r>
    </w:p>
    <w:p w:rsidR="00402FA9" w:rsidRDefault="00402FA9" w:rsidP="000812F3">
      <w:pPr>
        <w:spacing w:after="0"/>
        <w:rPr>
          <w:b/>
          <w:sz w:val="24"/>
          <w:szCs w:val="24"/>
        </w:rPr>
      </w:pPr>
    </w:p>
    <w:p w:rsidR="00BE47CF" w:rsidRDefault="00BE47CF" w:rsidP="00BE47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Borsod-Abaúj-Zemplén megyei Önkormányzat Közgyűlése 2012. júniusában megtárgyalta a megye kereskedelmének és vendéglátóiparának helyzetét. Jelen előterjesztés részben az adatok aktualizálásával a bekövetkezett változásokat, a folyamatok jelenlegi állását mutatja be, részben az új jelenségekre hívja fel a figyelmet.</w:t>
      </w:r>
    </w:p>
    <w:p w:rsidR="00BE47CF" w:rsidRDefault="00BE47CF" w:rsidP="00BE47CF">
      <w:pPr>
        <w:spacing w:after="0"/>
        <w:jc w:val="both"/>
        <w:rPr>
          <w:sz w:val="24"/>
          <w:szCs w:val="24"/>
        </w:rPr>
      </w:pPr>
    </w:p>
    <w:p w:rsidR="00AA16C1" w:rsidRDefault="00BE47CF" w:rsidP="00BE47C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gazdasági ágazatok helyzetének elemzése sok esetben nem csupán az adott szektor sajátosságaira világít rá, hanem esetenként tükrözi a helyi társadalom, a térség megítélését, helyzetét, jövőbeni változásait. Így például az építőipar mindig a gazdaság fejlődésének előrejelzője</w:t>
      </w:r>
      <w:r w:rsidR="00355B92">
        <w:rPr>
          <w:sz w:val="24"/>
          <w:szCs w:val="24"/>
        </w:rPr>
        <w:t xml:space="preserve">, a fellendülést először az építőipari teljesítmény növekedéséből lehet érzékelni. A kereskedelem nagysága és belső szerkezete elsősorban a lakosság jövedelmi helyzetét, életszínvonalát tükrözi, míg a vendéglátás, idegenforgalom a térség hazai és külföldi vonzerejét, imázsát is kifejezi. </w:t>
      </w:r>
    </w:p>
    <w:p w:rsidR="000108D9" w:rsidRDefault="000108D9" w:rsidP="000108D9">
      <w:pPr>
        <w:spacing w:after="0"/>
        <w:jc w:val="both"/>
        <w:rPr>
          <w:sz w:val="24"/>
          <w:szCs w:val="24"/>
        </w:rPr>
      </w:pPr>
    </w:p>
    <w:p w:rsidR="000108D9" w:rsidRDefault="00B36A19" w:rsidP="000108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2011-ben </w:t>
      </w:r>
      <w:r w:rsidR="000108D9">
        <w:rPr>
          <w:sz w:val="24"/>
          <w:szCs w:val="24"/>
        </w:rPr>
        <w:t>Borsod-Abaúj-Zemplén megyében a kereskedelem a nettó árbevétel 15 %-át,</w:t>
      </w:r>
      <w:r w:rsidR="00EE4970">
        <w:rPr>
          <w:sz w:val="24"/>
          <w:szCs w:val="24"/>
        </w:rPr>
        <w:t xml:space="preserve"> a vendéglátás alig 1 %-</w:t>
      </w:r>
      <w:r>
        <w:rPr>
          <w:sz w:val="24"/>
          <w:szCs w:val="24"/>
        </w:rPr>
        <w:t>át adta, a hozzáadott érték 9,2 %-a a kereskedelemből, 0,8</w:t>
      </w:r>
      <w:r w:rsidR="00EE4970">
        <w:rPr>
          <w:sz w:val="24"/>
          <w:szCs w:val="24"/>
        </w:rPr>
        <w:t xml:space="preserve"> %-a a vendéglátásból származ</w:t>
      </w:r>
      <w:r>
        <w:rPr>
          <w:sz w:val="24"/>
          <w:szCs w:val="24"/>
        </w:rPr>
        <w:t>ott</w:t>
      </w:r>
      <w:r w:rsidR="00EE4970">
        <w:rPr>
          <w:sz w:val="24"/>
          <w:szCs w:val="24"/>
        </w:rPr>
        <w:t>.</w:t>
      </w:r>
      <w:r>
        <w:rPr>
          <w:sz w:val="24"/>
          <w:szCs w:val="24"/>
        </w:rPr>
        <w:t xml:space="preserve"> A</w:t>
      </w:r>
      <w:r w:rsidR="000108D9">
        <w:rPr>
          <w:sz w:val="24"/>
          <w:szCs w:val="24"/>
        </w:rPr>
        <w:t xml:space="preserve"> társas vállalkozásoknál alkalmazottak számának 15 %-át és a bérköltségek 11</w:t>
      </w:r>
      <w:r w:rsidR="00EE4970">
        <w:rPr>
          <w:sz w:val="24"/>
          <w:szCs w:val="24"/>
        </w:rPr>
        <w:t>,2 %-át a kereskedelemben, 1,6 %-át a vendégl</w:t>
      </w:r>
      <w:r>
        <w:rPr>
          <w:sz w:val="24"/>
          <w:szCs w:val="24"/>
        </w:rPr>
        <w:t>átásban alkalmazottaknak fizették</w:t>
      </w:r>
      <w:r w:rsidR="00EE4970">
        <w:rPr>
          <w:sz w:val="24"/>
          <w:szCs w:val="24"/>
        </w:rPr>
        <w:t xml:space="preserve"> ki</w:t>
      </w:r>
      <w:r w:rsidR="0060568E">
        <w:rPr>
          <w:sz w:val="24"/>
          <w:szCs w:val="24"/>
        </w:rPr>
        <w:t>.</w:t>
      </w:r>
    </w:p>
    <w:p w:rsidR="000108D9" w:rsidRDefault="00EE4970" w:rsidP="00EE4970">
      <w:pPr>
        <w:spacing w:after="0"/>
        <w:jc w:val="center"/>
        <w:rPr>
          <w:sz w:val="24"/>
          <w:szCs w:val="24"/>
        </w:rPr>
      </w:pPr>
      <w:r w:rsidRPr="00EE4970">
        <w:rPr>
          <w:noProof/>
          <w:sz w:val="24"/>
          <w:szCs w:val="24"/>
        </w:rPr>
        <w:drawing>
          <wp:inline distT="0" distB="0" distL="0" distR="0">
            <wp:extent cx="5419725" cy="4505325"/>
            <wp:effectExtent l="19050" t="0" r="9525" b="0"/>
            <wp:docPr id="4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108D9" w:rsidRDefault="000108D9" w:rsidP="000108D9">
      <w:pPr>
        <w:spacing w:after="0"/>
        <w:jc w:val="both"/>
        <w:rPr>
          <w:sz w:val="24"/>
          <w:szCs w:val="24"/>
        </w:rPr>
      </w:pPr>
    </w:p>
    <w:p w:rsidR="000108D9" w:rsidRDefault="00D92527" w:rsidP="000108D9">
      <w:pPr>
        <w:spacing w:after="0"/>
        <w:jc w:val="right"/>
        <w:rPr>
          <w:i/>
          <w:sz w:val="24"/>
          <w:szCs w:val="24"/>
        </w:rPr>
      </w:pPr>
      <w:r w:rsidRPr="00D92527">
        <w:rPr>
          <w:i/>
          <w:noProof/>
          <w:sz w:val="24"/>
          <w:szCs w:val="24"/>
        </w:rPr>
        <w:drawing>
          <wp:inline distT="0" distB="0" distL="0" distR="0">
            <wp:extent cx="5760720" cy="3724275"/>
            <wp:effectExtent l="19050" t="0" r="1143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08D9" w:rsidRDefault="000108D9" w:rsidP="0060568E">
      <w:pPr>
        <w:spacing w:after="0"/>
        <w:jc w:val="center"/>
        <w:rPr>
          <w:i/>
          <w:sz w:val="24"/>
          <w:szCs w:val="24"/>
        </w:rPr>
      </w:pPr>
    </w:p>
    <w:p w:rsidR="000108D9" w:rsidRDefault="000108D9" w:rsidP="000108D9">
      <w:pPr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Forrás: NAV B-A-Z Megyei Igazgatóság</w:t>
      </w:r>
    </w:p>
    <w:p w:rsidR="000108D9" w:rsidRDefault="000108D9" w:rsidP="000108D9">
      <w:pPr>
        <w:spacing w:after="0"/>
        <w:jc w:val="right"/>
        <w:rPr>
          <w:i/>
          <w:sz w:val="24"/>
          <w:szCs w:val="24"/>
        </w:rPr>
      </w:pPr>
    </w:p>
    <w:p w:rsidR="0065329C" w:rsidRDefault="00C355B0" w:rsidP="00C355B0">
      <w:pPr>
        <w:spacing w:after="0"/>
        <w:jc w:val="center"/>
        <w:rPr>
          <w:b/>
          <w:sz w:val="24"/>
          <w:szCs w:val="24"/>
        </w:rPr>
      </w:pPr>
      <w:r w:rsidRPr="00C355B0">
        <w:rPr>
          <w:b/>
          <w:sz w:val="24"/>
          <w:szCs w:val="24"/>
        </w:rPr>
        <w:t>Borsod-Abaúj-Zemplén megye kereskedelmi vállalkozásainak helyzete</w:t>
      </w:r>
    </w:p>
    <w:p w:rsidR="00C355B0" w:rsidRPr="00F9483E" w:rsidRDefault="00C355B0" w:rsidP="00C355B0">
      <w:pPr>
        <w:spacing w:after="0"/>
        <w:jc w:val="center"/>
        <w:rPr>
          <w:b/>
          <w:sz w:val="24"/>
          <w:szCs w:val="24"/>
        </w:rPr>
      </w:pPr>
    </w:p>
    <w:p w:rsidR="002C2A90" w:rsidRDefault="002C2A90" w:rsidP="0065329C">
      <w:pPr>
        <w:spacing w:after="0"/>
        <w:jc w:val="both"/>
        <w:rPr>
          <w:sz w:val="24"/>
          <w:szCs w:val="24"/>
        </w:rPr>
      </w:pPr>
    </w:p>
    <w:p w:rsidR="004E2910" w:rsidRPr="002C2A90" w:rsidRDefault="002C2A90" w:rsidP="002C2A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kiskereskedelmi vállalkozások száma megyénkben még mindig csökken, ami annak fényében különösen sajnálatos, hogy</w:t>
      </w:r>
      <w:r w:rsidR="00933BE0" w:rsidRPr="002C2A90">
        <w:rPr>
          <w:sz w:val="24"/>
          <w:szCs w:val="24"/>
        </w:rPr>
        <w:t xml:space="preserve"> nemzetgazdasági szinten már nem a csökkenés, hanem a növekedés jellemző: </w:t>
      </w:r>
      <w:r w:rsidR="004E2910" w:rsidRPr="002C2A90">
        <w:rPr>
          <w:sz w:val="24"/>
          <w:szCs w:val="24"/>
        </w:rPr>
        <w:t>a</w:t>
      </w:r>
      <w:r w:rsidR="00933BE0" w:rsidRPr="002C2A90">
        <w:rPr>
          <w:sz w:val="24"/>
          <w:szCs w:val="24"/>
        </w:rPr>
        <w:t xml:space="preserve"> 2011-es 153</w:t>
      </w:r>
      <w:r w:rsidR="004E2910" w:rsidRPr="002C2A90">
        <w:rPr>
          <w:sz w:val="24"/>
          <w:szCs w:val="24"/>
        </w:rPr>
        <w:t xml:space="preserve"> </w:t>
      </w:r>
      <w:r w:rsidR="00933BE0" w:rsidRPr="002C2A90">
        <w:rPr>
          <w:sz w:val="24"/>
          <w:szCs w:val="24"/>
        </w:rPr>
        <w:t>065-höz képest 2012-ben 153</w:t>
      </w:r>
      <w:r w:rsidR="004E2910" w:rsidRPr="002C2A90">
        <w:rPr>
          <w:sz w:val="24"/>
          <w:szCs w:val="24"/>
        </w:rPr>
        <w:t xml:space="preserve"> </w:t>
      </w:r>
      <w:r w:rsidR="00933BE0" w:rsidRPr="002C2A90">
        <w:rPr>
          <w:sz w:val="24"/>
          <w:szCs w:val="24"/>
        </w:rPr>
        <w:t xml:space="preserve">735 működő kiskereskedelmi üzlet volt az országban. </w:t>
      </w:r>
    </w:p>
    <w:p w:rsidR="004E2910" w:rsidRPr="00F9483E" w:rsidRDefault="004E2910" w:rsidP="00D41B55">
      <w:pPr>
        <w:pStyle w:val="Listaszerbekezds"/>
        <w:spacing w:after="0"/>
        <w:jc w:val="both"/>
        <w:rPr>
          <w:sz w:val="24"/>
          <w:szCs w:val="24"/>
        </w:rPr>
      </w:pPr>
    </w:p>
    <w:p w:rsidR="004E2910" w:rsidRPr="002C2A90" w:rsidRDefault="002A3D2A" w:rsidP="002C2A90">
      <w:pPr>
        <w:spacing w:after="0"/>
        <w:jc w:val="both"/>
        <w:rPr>
          <w:sz w:val="24"/>
          <w:szCs w:val="24"/>
        </w:rPr>
      </w:pPr>
      <w:r w:rsidRPr="002C2A90">
        <w:rPr>
          <w:sz w:val="24"/>
          <w:szCs w:val="24"/>
        </w:rPr>
        <w:t xml:space="preserve">A kiskereskedelmi üzletek </w:t>
      </w:r>
      <w:r w:rsidR="00047A6C" w:rsidRPr="002C2A90">
        <w:rPr>
          <w:sz w:val="24"/>
          <w:szCs w:val="24"/>
        </w:rPr>
        <w:t>meghatározó részét</w:t>
      </w:r>
      <w:r w:rsidRPr="002C2A90">
        <w:rPr>
          <w:sz w:val="24"/>
          <w:szCs w:val="24"/>
        </w:rPr>
        <w:t xml:space="preserve"> egyéni vállalkozók üzemeltetik</w:t>
      </w:r>
      <w:r w:rsidR="00047A6C" w:rsidRPr="002C2A90">
        <w:rPr>
          <w:sz w:val="24"/>
          <w:szCs w:val="24"/>
        </w:rPr>
        <w:t>. A 2012. december 31-én működő 8505 üzletből 3145-öt egyéni vállalkozók üzemeltettek, ami közel 37%. Azonban 2011-ben ez az arány még 38% volt</w:t>
      </w:r>
      <w:r w:rsidR="002C2A90">
        <w:rPr>
          <w:sz w:val="24"/>
          <w:szCs w:val="24"/>
        </w:rPr>
        <w:t xml:space="preserve"> (3268 üzlet)</w:t>
      </w:r>
      <w:r w:rsidR="00047A6C" w:rsidRPr="002C2A90">
        <w:rPr>
          <w:sz w:val="24"/>
          <w:szCs w:val="24"/>
        </w:rPr>
        <w:t>. Az üzletek csökkenése gyakorlatilag az egyéni vállalkozások megszűnéséből adódik,</w:t>
      </w:r>
      <w:r w:rsidR="008E44FB">
        <w:rPr>
          <w:sz w:val="24"/>
          <w:szCs w:val="24"/>
        </w:rPr>
        <w:t xml:space="preserve"> </w:t>
      </w:r>
      <w:r w:rsidR="002C2A90">
        <w:rPr>
          <w:sz w:val="24"/>
          <w:szCs w:val="24"/>
        </w:rPr>
        <w:t>amit a forgalom csökkenés okozott. A kereskedők további kiesésre számítanak</w:t>
      </w:r>
      <w:r w:rsidR="008E44FB">
        <w:rPr>
          <w:sz w:val="24"/>
          <w:szCs w:val="24"/>
        </w:rPr>
        <w:t xml:space="preserve">, hiszen </w:t>
      </w:r>
      <w:r w:rsidR="00047A6C" w:rsidRPr="002C2A90">
        <w:rPr>
          <w:sz w:val="24"/>
          <w:szCs w:val="24"/>
        </w:rPr>
        <w:t xml:space="preserve">a nemzeti dohányboltok létrejöttével várhatóan </w:t>
      </w:r>
      <w:r w:rsidR="008E44FB">
        <w:rPr>
          <w:sz w:val="24"/>
          <w:szCs w:val="24"/>
        </w:rPr>
        <w:t>a dohányárusításból származó bevétel és az ehhez kapcsolódó forgalom is csökken.</w:t>
      </w:r>
    </w:p>
    <w:p w:rsidR="00885C73" w:rsidRPr="002C2A90" w:rsidRDefault="00B25C6B" w:rsidP="002C2A90">
      <w:pPr>
        <w:spacing w:after="0"/>
        <w:jc w:val="both"/>
        <w:rPr>
          <w:sz w:val="24"/>
          <w:szCs w:val="24"/>
        </w:rPr>
      </w:pPr>
      <w:r w:rsidRPr="007F470D">
        <w:rPr>
          <w:sz w:val="24"/>
          <w:szCs w:val="24"/>
        </w:rPr>
        <w:t xml:space="preserve">Tovább rontja a helyzetet, hogy habár az infláció várhatóan alacsony szintű lesz, az élelmiszerárak </w:t>
      </w:r>
      <w:r w:rsidR="007F470D">
        <w:rPr>
          <w:sz w:val="24"/>
          <w:szCs w:val="24"/>
        </w:rPr>
        <w:t>ettől lényegesen nagyobb mértékben</w:t>
      </w:r>
      <w:r w:rsidRPr="007F470D">
        <w:rPr>
          <w:sz w:val="24"/>
          <w:szCs w:val="24"/>
        </w:rPr>
        <w:t xml:space="preserve"> növekedtek, és az elektronikus útdíj bevezetése </w:t>
      </w:r>
      <w:r w:rsidR="007F470D">
        <w:rPr>
          <w:sz w:val="24"/>
          <w:szCs w:val="24"/>
        </w:rPr>
        <w:t>várhatóan</w:t>
      </w:r>
      <w:r w:rsidRPr="007F470D">
        <w:rPr>
          <w:sz w:val="24"/>
          <w:szCs w:val="24"/>
        </w:rPr>
        <w:t xml:space="preserve"> tovább fogja növelni az árakat. </w:t>
      </w:r>
      <w:r w:rsidR="004E2910" w:rsidRPr="007F470D">
        <w:rPr>
          <w:sz w:val="24"/>
          <w:szCs w:val="24"/>
        </w:rPr>
        <w:t>Az ezzel együtt járó</w:t>
      </w:r>
      <w:r w:rsidRPr="007F470D">
        <w:rPr>
          <w:sz w:val="24"/>
          <w:szCs w:val="24"/>
        </w:rPr>
        <w:t xml:space="preserve"> fogyasztá</w:t>
      </w:r>
      <w:r w:rsidR="004E2910" w:rsidRPr="007F470D">
        <w:rPr>
          <w:sz w:val="24"/>
          <w:szCs w:val="24"/>
        </w:rPr>
        <w:t>s</w:t>
      </w:r>
      <w:r w:rsidR="008E44FB" w:rsidRPr="007F470D">
        <w:rPr>
          <w:sz w:val="24"/>
          <w:szCs w:val="24"/>
        </w:rPr>
        <w:t>-</w:t>
      </w:r>
      <w:r w:rsidRPr="007F470D">
        <w:rPr>
          <w:sz w:val="24"/>
          <w:szCs w:val="24"/>
        </w:rPr>
        <w:t>visszaesés is a kiskereskedelmi üzletek további megszűnésével járhat.</w:t>
      </w:r>
      <w:r w:rsidRPr="002C2A90">
        <w:rPr>
          <w:sz w:val="24"/>
          <w:szCs w:val="24"/>
        </w:rPr>
        <w:t xml:space="preserve"> </w:t>
      </w:r>
    </w:p>
    <w:p w:rsidR="00B25C6B" w:rsidRPr="002C2A90" w:rsidRDefault="004E2910" w:rsidP="002C2A90">
      <w:pPr>
        <w:spacing w:after="0"/>
        <w:jc w:val="both"/>
        <w:rPr>
          <w:sz w:val="24"/>
          <w:szCs w:val="24"/>
        </w:rPr>
      </w:pPr>
      <w:r w:rsidRPr="002C2A90">
        <w:rPr>
          <w:sz w:val="24"/>
          <w:szCs w:val="24"/>
        </w:rPr>
        <w:t xml:space="preserve">A kiskereskedelmi üzletek jövedelmezőségét </w:t>
      </w:r>
      <w:r w:rsidR="008E44FB">
        <w:rPr>
          <w:sz w:val="24"/>
          <w:szCs w:val="24"/>
        </w:rPr>
        <w:t xml:space="preserve">kis mértékben </w:t>
      </w:r>
      <w:r w:rsidRPr="002C2A90">
        <w:rPr>
          <w:sz w:val="24"/>
          <w:szCs w:val="24"/>
        </w:rPr>
        <w:t>rontja a</w:t>
      </w:r>
      <w:r w:rsidR="00B25C6B" w:rsidRPr="002C2A90">
        <w:rPr>
          <w:sz w:val="24"/>
          <w:szCs w:val="24"/>
        </w:rPr>
        <w:t>z online pénztárgépek beszerz</w:t>
      </w:r>
      <w:r w:rsidRPr="002C2A90">
        <w:rPr>
          <w:sz w:val="24"/>
          <w:szCs w:val="24"/>
        </w:rPr>
        <w:t xml:space="preserve">ési és fenntartási </w:t>
      </w:r>
      <w:r w:rsidR="008E44FB">
        <w:rPr>
          <w:sz w:val="24"/>
          <w:szCs w:val="24"/>
        </w:rPr>
        <w:t>költsége is, de ennek nagyobb hatása a számla nélküli bevételek elmaradása következtében jelenik meg, ami nemzetgazdasági szinten természetesen pozitív lépésként értékelhető.</w:t>
      </w:r>
    </w:p>
    <w:p w:rsidR="008C0EAB" w:rsidRDefault="008C0EAB" w:rsidP="002210A5">
      <w:pPr>
        <w:pStyle w:val="Listaszerbekezds"/>
        <w:spacing w:after="0"/>
        <w:ind w:left="0"/>
        <w:jc w:val="center"/>
        <w:rPr>
          <w:sz w:val="24"/>
          <w:szCs w:val="24"/>
        </w:rPr>
      </w:pPr>
    </w:p>
    <w:p w:rsidR="00ED5D6E" w:rsidRDefault="00ED5D6E" w:rsidP="002210A5">
      <w:pPr>
        <w:pStyle w:val="Listaszerbekezds"/>
        <w:spacing w:after="0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5C73" w:rsidRDefault="002210A5" w:rsidP="002210A5">
      <w:pPr>
        <w:pStyle w:val="Listaszerbekezds"/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Forrás: KSH</w:t>
      </w:r>
    </w:p>
    <w:p w:rsidR="002210A5" w:rsidRPr="002210A5" w:rsidRDefault="002210A5" w:rsidP="00933BE0">
      <w:pPr>
        <w:pStyle w:val="Listaszerbekezds"/>
        <w:spacing w:after="0"/>
        <w:ind w:left="0" w:right="141"/>
        <w:jc w:val="right"/>
        <w:rPr>
          <w:i/>
          <w:sz w:val="24"/>
          <w:szCs w:val="24"/>
        </w:rPr>
      </w:pPr>
    </w:p>
    <w:p w:rsidR="00885C73" w:rsidRDefault="00885C73" w:rsidP="002210A5">
      <w:pPr>
        <w:pStyle w:val="Listaszerbekezds"/>
        <w:spacing w:after="0"/>
        <w:ind w:left="0"/>
        <w:jc w:val="center"/>
        <w:rPr>
          <w:sz w:val="24"/>
          <w:szCs w:val="24"/>
        </w:rPr>
      </w:pPr>
    </w:p>
    <w:p w:rsidR="002210A5" w:rsidRDefault="002210A5" w:rsidP="002210A5">
      <w:pPr>
        <w:pStyle w:val="Listaszerbekezds"/>
        <w:spacing w:after="0"/>
        <w:jc w:val="right"/>
        <w:rPr>
          <w:i/>
          <w:sz w:val="24"/>
          <w:szCs w:val="24"/>
        </w:rPr>
      </w:pPr>
    </w:p>
    <w:p w:rsidR="00A04747" w:rsidRDefault="00A04747" w:rsidP="00A04747">
      <w:pPr>
        <w:pStyle w:val="Listaszerbekezds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Borsod-Abaúj-Zemplén megye lakosságának jövedelme mindig is elmarad</w:t>
      </w:r>
      <w:r w:rsidR="000F3C8B">
        <w:rPr>
          <w:sz w:val="24"/>
          <w:szCs w:val="24"/>
        </w:rPr>
        <w:t>t</w:t>
      </w:r>
      <w:r>
        <w:rPr>
          <w:sz w:val="24"/>
          <w:szCs w:val="24"/>
        </w:rPr>
        <w:t xml:space="preserve"> a közép-magyarországi vagy dunántúli jövedelmektől, ezt a következő ábra jól szemlélteti. </w:t>
      </w:r>
    </w:p>
    <w:p w:rsidR="00A04747" w:rsidRDefault="00A04747" w:rsidP="00A04747">
      <w:pPr>
        <w:pStyle w:val="Listaszerbekezds"/>
        <w:spacing w:after="0"/>
        <w:ind w:left="0"/>
        <w:jc w:val="both"/>
        <w:rPr>
          <w:sz w:val="24"/>
          <w:szCs w:val="24"/>
        </w:rPr>
      </w:pPr>
    </w:p>
    <w:p w:rsidR="00A04747" w:rsidRDefault="00A04747" w:rsidP="00A04747">
      <w:pPr>
        <w:pStyle w:val="Listaszerbekezds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2011-ben a helyi alkalmazottak nettó átlagkeresete a közép-magyarországiakénak 71%-a, a budapestiekének 67 %-a volt.</w:t>
      </w:r>
    </w:p>
    <w:p w:rsidR="00A04747" w:rsidRDefault="00A04747" w:rsidP="00A04747">
      <w:pPr>
        <w:pStyle w:val="Listaszerbekezds"/>
        <w:spacing w:after="0"/>
        <w:ind w:left="0"/>
        <w:jc w:val="both"/>
        <w:rPr>
          <w:sz w:val="24"/>
          <w:szCs w:val="24"/>
        </w:rPr>
      </w:pPr>
    </w:p>
    <w:p w:rsidR="00A04747" w:rsidRPr="00A04747" w:rsidRDefault="00A04747" w:rsidP="00A04747">
      <w:pPr>
        <w:pStyle w:val="Listaszerbekezds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2009-ben a nettó jövedelem csökkent, a 2008-as évi 107367 Ft/hóval szemben 2009-ben az átlagkereset 103 481 Ft/hó volt. A kiskereskedelmi üzletek számának érzékelhető csökkenése ugyanerre az időszakra esett.</w:t>
      </w:r>
    </w:p>
    <w:p w:rsidR="00A04747" w:rsidRDefault="00A04747" w:rsidP="00A04747">
      <w:pPr>
        <w:pStyle w:val="Listaszerbekezds"/>
        <w:spacing w:after="0"/>
        <w:ind w:left="0"/>
        <w:jc w:val="both"/>
        <w:rPr>
          <w:sz w:val="24"/>
          <w:szCs w:val="24"/>
        </w:rPr>
      </w:pPr>
      <w:r w:rsidRPr="00A04747">
        <w:rPr>
          <w:noProof/>
          <w:sz w:val="24"/>
          <w:szCs w:val="24"/>
        </w:rPr>
        <w:drawing>
          <wp:inline distT="0" distB="0" distL="0" distR="0">
            <wp:extent cx="5760720" cy="3438303"/>
            <wp:effectExtent l="19050" t="0" r="11430" b="0"/>
            <wp:docPr id="10" name="Diagram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4747" w:rsidRPr="00A8141F" w:rsidRDefault="00A04747" w:rsidP="00A8141F">
      <w:pPr>
        <w:tabs>
          <w:tab w:val="left" w:pos="7513"/>
        </w:tabs>
        <w:jc w:val="right"/>
        <w:rPr>
          <w:i/>
          <w:sz w:val="24"/>
          <w:szCs w:val="24"/>
        </w:rPr>
      </w:pPr>
      <w:r>
        <w:tab/>
      </w:r>
      <w:r w:rsidRPr="00A8141F">
        <w:rPr>
          <w:i/>
          <w:sz w:val="24"/>
          <w:szCs w:val="24"/>
        </w:rPr>
        <w:t>Forrás: KSH</w:t>
      </w:r>
    </w:p>
    <w:p w:rsidR="004D2977" w:rsidRPr="00F9483E" w:rsidRDefault="004D2977" w:rsidP="004D2977">
      <w:pPr>
        <w:tabs>
          <w:tab w:val="left" w:pos="7995"/>
        </w:tabs>
        <w:jc w:val="both"/>
        <w:rPr>
          <w:sz w:val="24"/>
          <w:szCs w:val="24"/>
        </w:rPr>
      </w:pPr>
      <w:r w:rsidRPr="00F9483E">
        <w:rPr>
          <w:sz w:val="24"/>
          <w:szCs w:val="24"/>
        </w:rPr>
        <w:t>A kiskereskedelem lehetőségeit (is) meghatározó fizetőképes kereslet területi különbségei a megyén belül is szembeötlőek. A NAV adatai szerint az egy lakosra jutó éves személyi jövedelem 201</w:t>
      </w:r>
      <w:r w:rsidR="00BC3198" w:rsidRPr="00F9483E">
        <w:rPr>
          <w:sz w:val="24"/>
          <w:szCs w:val="24"/>
        </w:rPr>
        <w:t>1</w:t>
      </w:r>
      <w:r w:rsidRPr="00F9483E">
        <w:rPr>
          <w:sz w:val="24"/>
          <w:szCs w:val="24"/>
        </w:rPr>
        <w:t xml:space="preserve">-ben a Bodrogközben </w:t>
      </w:r>
      <w:r w:rsidR="00BC3198" w:rsidRPr="00F9483E">
        <w:rPr>
          <w:sz w:val="24"/>
          <w:szCs w:val="24"/>
        </w:rPr>
        <w:t xml:space="preserve">404000 Ft (2010-ben </w:t>
      </w:r>
      <w:r w:rsidR="000942F8" w:rsidRPr="00F9483E">
        <w:rPr>
          <w:sz w:val="24"/>
          <w:szCs w:val="24"/>
        </w:rPr>
        <w:t xml:space="preserve">ugyanez </w:t>
      </w:r>
      <w:r w:rsidR="00BC3198" w:rsidRPr="00F9483E">
        <w:rPr>
          <w:sz w:val="24"/>
          <w:szCs w:val="24"/>
        </w:rPr>
        <w:t xml:space="preserve">még </w:t>
      </w:r>
      <w:r w:rsidRPr="00F9483E">
        <w:rPr>
          <w:sz w:val="24"/>
          <w:szCs w:val="24"/>
        </w:rPr>
        <w:t>520060 Ft</w:t>
      </w:r>
      <w:r w:rsidR="00BC3198" w:rsidRPr="00F9483E">
        <w:rPr>
          <w:sz w:val="24"/>
          <w:szCs w:val="24"/>
        </w:rPr>
        <w:t xml:space="preserve"> volt)</w:t>
      </w:r>
      <w:r w:rsidRPr="00F9483E">
        <w:rPr>
          <w:sz w:val="24"/>
          <w:szCs w:val="24"/>
        </w:rPr>
        <w:t xml:space="preserve">, Tiszaújvárosban </w:t>
      </w:r>
      <w:r w:rsidR="00BC3198" w:rsidRPr="00F9483E">
        <w:rPr>
          <w:sz w:val="24"/>
          <w:szCs w:val="24"/>
        </w:rPr>
        <w:t xml:space="preserve">986000Ft (2010-ben </w:t>
      </w:r>
      <w:r w:rsidRPr="00F9483E">
        <w:rPr>
          <w:sz w:val="24"/>
          <w:szCs w:val="24"/>
        </w:rPr>
        <w:t>1214799 Ft</w:t>
      </w:r>
      <w:r w:rsidR="00BC3198" w:rsidRPr="00F9483E">
        <w:rPr>
          <w:sz w:val="24"/>
          <w:szCs w:val="24"/>
        </w:rPr>
        <w:t>)</w:t>
      </w:r>
      <w:r w:rsidR="000942F8" w:rsidRPr="00F9483E">
        <w:rPr>
          <w:sz w:val="24"/>
          <w:szCs w:val="24"/>
        </w:rPr>
        <w:t xml:space="preserve"> volt, vagyis a b</w:t>
      </w:r>
      <w:r w:rsidRPr="00F9483E">
        <w:rPr>
          <w:sz w:val="24"/>
          <w:szCs w:val="24"/>
        </w:rPr>
        <w:t xml:space="preserve">odrogközi lakosokra a tiszaújvárosiakénak </w:t>
      </w:r>
      <w:r w:rsidR="00BC3198" w:rsidRPr="00F9483E">
        <w:rPr>
          <w:sz w:val="24"/>
          <w:szCs w:val="24"/>
        </w:rPr>
        <w:t xml:space="preserve">40,9%-a (2010-ben </w:t>
      </w:r>
      <w:r w:rsidRPr="00F9483E">
        <w:rPr>
          <w:sz w:val="24"/>
          <w:szCs w:val="24"/>
        </w:rPr>
        <w:t>42,8 %-a</w:t>
      </w:r>
      <w:r w:rsidR="00BC3198" w:rsidRPr="00F9483E">
        <w:rPr>
          <w:sz w:val="24"/>
          <w:szCs w:val="24"/>
        </w:rPr>
        <w:t>)</w:t>
      </w:r>
      <w:r w:rsidRPr="00F9483E">
        <w:rPr>
          <w:sz w:val="24"/>
          <w:szCs w:val="24"/>
        </w:rPr>
        <w:t xml:space="preserve"> esett.</w:t>
      </w:r>
      <w:r w:rsidR="00BC3198" w:rsidRPr="00F9483E">
        <w:rPr>
          <w:sz w:val="24"/>
          <w:szCs w:val="24"/>
        </w:rPr>
        <w:t xml:space="preserve"> Vagyis miközben nominálisan is csökkent a megyében élők személyi jövedelme, az olló még tovább nyílt.</w:t>
      </w:r>
    </w:p>
    <w:p w:rsidR="00190067" w:rsidRDefault="00BC3198" w:rsidP="004D2977">
      <w:pPr>
        <w:tabs>
          <w:tab w:val="left" w:pos="7995"/>
        </w:tabs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4" name="Diagram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D2977" w:rsidRPr="00A8141F" w:rsidRDefault="004D2977" w:rsidP="00A8141F">
      <w:pPr>
        <w:tabs>
          <w:tab w:val="left" w:pos="2127"/>
        </w:tabs>
        <w:jc w:val="right"/>
        <w:rPr>
          <w:i/>
          <w:sz w:val="24"/>
          <w:szCs w:val="24"/>
        </w:rPr>
      </w:pPr>
      <w:r>
        <w:tab/>
      </w:r>
      <w:r w:rsidRPr="00A8141F">
        <w:rPr>
          <w:i/>
          <w:sz w:val="24"/>
          <w:szCs w:val="24"/>
        </w:rPr>
        <w:t>Forrás: NAV B-A-Z Megyei Igazgatósága adatai alapján saját számítás</w:t>
      </w:r>
    </w:p>
    <w:p w:rsidR="00627D05" w:rsidRDefault="00A8141F" w:rsidP="00A8141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kereskedelmi vállalkozások helyzetét – ha nem is ennyire konkrét eseményekhez kötve – további külső hatások is befolyásolják rövidebb-hosszabb ideig.</w:t>
      </w:r>
    </w:p>
    <w:p w:rsidR="00A8141F" w:rsidRDefault="00A8141F" w:rsidP="00A8141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kereskedelmi vállalatok nagy- és kiskereskedelmi tevékenysége általában nem választható el teljesen. A nagykereskedelmi cégek többnyire kiskereskedelemmel is foglalkoznak.</w:t>
      </w:r>
    </w:p>
    <w:p w:rsidR="00A8141F" w:rsidRDefault="00A8141F" w:rsidP="00A8141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élelmiszer-kiskereskedelmi vállalkozások </w:t>
      </w:r>
      <w:r w:rsidR="009A0B64">
        <w:rPr>
          <w:sz w:val="24"/>
          <w:szCs w:val="24"/>
        </w:rPr>
        <w:t>között a hazai kisboltok mellett egy jelentősebb hazai üzletlánc működik: a Coop üzletek nemcsak a városokban, de számos kistelepülésen biztosítják a lakosság ellátását élelmiszerrel és háztartási árucikkekkel. A másik jelentős lánc, a CBA megyénkben nem terjedt el jelentős mértékben.</w:t>
      </w:r>
      <w:r w:rsidR="00711945">
        <w:rPr>
          <w:sz w:val="24"/>
          <w:szCs w:val="24"/>
        </w:rPr>
        <w:t xml:space="preserve"> A Coop üzletek forgalma stagnál, a vállalkozások véleménye szerint a 2008-as szinten van, annak ellenére, hogy az elmúlt évben igen jelentős fejlesztéseket végeztek.</w:t>
      </w:r>
    </w:p>
    <w:p w:rsidR="00711945" w:rsidRDefault="00711945" w:rsidP="00A8141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ruházati cikkek esetében jelenleg is döntően az olcsó, kínai és turkáló jellegű üzletek forgalma nagyobb.</w:t>
      </w:r>
    </w:p>
    <w:p w:rsidR="00711945" w:rsidRDefault="00711945" w:rsidP="00A8141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építőanyag-kereskedelem tovább zsugorodik, számos TÜZÉP-telep megszűnt. A megyében gyakorlatilag nincs magán-építkezés, a nagyobb beruházások kivitelezői többségükben nem megyei cégek, elvétve vásárolnak helyben. </w:t>
      </w:r>
    </w:p>
    <w:p w:rsidR="00711945" w:rsidRDefault="00711945" w:rsidP="00A8141F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gépjármű-kereskedelem továbbra is minimális. </w:t>
      </w:r>
    </w:p>
    <w:p w:rsidR="00711945" w:rsidRDefault="00711945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11945" w:rsidRDefault="00711945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7F470D" w:rsidRDefault="007F470D" w:rsidP="00A8141F">
      <w:pPr>
        <w:tabs>
          <w:tab w:val="left" w:pos="2835"/>
        </w:tabs>
        <w:jc w:val="both"/>
        <w:rPr>
          <w:sz w:val="24"/>
          <w:szCs w:val="24"/>
        </w:rPr>
      </w:pPr>
    </w:p>
    <w:p w:rsidR="00627D05" w:rsidRPr="000942F8" w:rsidRDefault="00C355B0" w:rsidP="00C355B0">
      <w:pPr>
        <w:tabs>
          <w:tab w:val="left" w:pos="2835"/>
        </w:tabs>
        <w:jc w:val="center"/>
        <w:rPr>
          <w:b/>
          <w:sz w:val="32"/>
          <w:szCs w:val="32"/>
        </w:rPr>
      </w:pPr>
      <w:r w:rsidRPr="000942F8">
        <w:rPr>
          <w:b/>
          <w:sz w:val="32"/>
          <w:szCs w:val="32"/>
        </w:rPr>
        <w:t>Vendéglátás, idegenforgalom Borsod-Abaúj-Zemplén megyében</w:t>
      </w:r>
    </w:p>
    <w:p w:rsidR="00C355B0" w:rsidRPr="009E60F2" w:rsidRDefault="00C355B0" w:rsidP="00C355B0">
      <w:pPr>
        <w:tabs>
          <w:tab w:val="left" w:pos="2835"/>
        </w:tabs>
        <w:jc w:val="center"/>
        <w:rPr>
          <w:b/>
          <w:sz w:val="24"/>
          <w:szCs w:val="24"/>
        </w:rPr>
      </w:pPr>
    </w:p>
    <w:p w:rsidR="00C355B0" w:rsidRDefault="009E60F2" w:rsidP="00C355B0">
      <w:pPr>
        <w:tabs>
          <w:tab w:val="left" w:pos="2835"/>
        </w:tabs>
        <w:jc w:val="both"/>
        <w:rPr>
          <w:sz w:val="24"/>
          <w:szCs w:val="24"/>
        </w:rPr>
      </w:pPr>
      <w:r w:rsidRPr="009E60F2">
        <w:rPr>
          <w:sz w:val="24"/>
          <w:szCs w:val="24"/>
        </w:rPr>
        <w:t xml:space="preserve">Borsod-Abaúj-Zemplén megye </w:t>
      </w:r>
      <w:r>
        <w:rPr>
          <w:sz w:val="24"/>
          <w:szCs w:val="24"/>
        </w:rPr>
        <w:t>területén két világ-örökségi helyszín, jelentős termálvíz-kincs, változatos domborzat, történelmi emlékhelyek sokasága jelenti azokat az attrakciókat, amelyek révén a megye hivatott lenne idegenforgalmi célponttá válni a hazai és külföldi vendégek számára.</w:t>
      </w:r>
    </w:p>
    <w:p w:rsidR="00266E2D" w:rsidRDefault="00266E2D" w:rsidP="00C355B0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fejlesztési stratégiákban az idegenforgalom évtizedek óta nagy hangsúlyt kap, mind a várható árbevételek, mind a munkahelyteremtés, mind a megye pozitív megítélése szempontjából jelentős ágazattá kellene válnia. Ezzel szemben azonban tény, hogy a magyarországi idegenforgalom nagy része még mindig Budapestre, a Balaton környékére és Dunántúlra összpontosul.</w:t>
      </w:r>
    </w:p>
    <w:p w:rsidR="00711945" w:rsidRDefault="00711945" w:rsidP="00C355B0">
      <w:pPr>
        <w:tabs>
          <w:tab w:val="left" w:pos="2835"/>
        </w:tabs>
        <w:jc w:val="both"/>
        <w:rPr>
          <w:sz w:val="24"/>
          <w:szCs w:val="24"/>
        </w:rPr>
      </w:pPr>
    </w:p>
    <w:p w:rsidR="00266E2D" w:rsidRDefault="001614F4" w:rsidP="001614F4">
      <w:pPr>
        <w:tabs>
          <w:tab w:val="left" w:pos="2835"/>
        </w:tabs>
        <w:jc w:val="center"/>
        <w:rPr>
          <w:b/>
          <w:sz w:val="28"/>
          <w:szCs w:val="28"/>
        </w:rPr>
      </w:pPr>
      <w:r w:rsidRPr="001614F4">
        <w:rPr>
          <w:b/>
          <w:sz w:val="28"/>
          <w:szCs w:val="28"/>
        </w:rPr>
        <w:t>A vendégforgalom alakulása 2000-201</w:t>
      </w:r>
      <w:r w:rsidR="00ED35F6">
        <w:rPr>
          <w:b/>
          <w:sz w:val="28"/>
          <w:szCs w:val="28"/>
        </w:rPr>
        <w:t>1</w:t>
      </w:r>
      <w:r w:rsidRPr="001614F4">
        <w:rPr>
          <w:b/>
          <w:sz w:val="28"/>
          <w:szCs w:val="28"/>
        </w:rPr>
        <w:t xml:space="preserve"> között</w:t>
      </w:r>
    </w:p>
    <w:p w:rsidR="00ED35F6" w:rsidRPr="001614F4" w:rsidRDefault="00ED35F6" w:rsidP="001614F4">
      <w:pPr>
        <w:tabs>
          <w:tab w:val="left" w:pos="283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8" name="Diagra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6E2D" w:rsidRDefault="000F0076" w:rsidP="001614F4">
      <w:pPr>
        <w:tabs>
          <w:tab w:val="left" w:pos="2835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9" name="Diagra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614F4" w:rsidRDefault="001614F4" w:rsidP="001614F4">
      <w:pPr>
        <w:tabs>
          <w:tab w:val="left" w:pos="2835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 KSH</w:t>
      </w:r>
    </w:p>
    <w:p w:rsidR="001614F4" w:rsidRPr="00F9483E" w:rsidRDefault="000F0076" w:rsidP="000F0076">
      <w:pPr>
        <w:tabs>
          <w:tab w:val="left" w:pos="2835"/>
        </w:tabs>
        <w:rPr>
          <w:sz w:val="24"/>
          <w:szCs w:val="24"/>
        </w:rPr>
      </w:pPr>
      <w:r w:rsidRPr="00F9483E">
        <w:rPr>
          <w:sz w:val="24"/>
          <w:szCs w:val="24"/>
        </w:rPr>
        <w:t xml:space="preserve">A megye vendégforgalma a 2007-től tartó lassú, de folyamatos csökkenés után 2011-ben növekedett, ám sajnos </w:t>
      </w:r>
      <w:r w:rsidR="003C5E39" w:rsidRPr="00F9483E">
        <w:rPr>
          <w:sz w:val="24"/>
          <w:szCs w:val="24"/>
        </w:rPr>
        <w:t>még mindig alig haladja meg a 2002-es szintet.</w:t>
      </w:r>
    </w:p>
    <w:p w:rsidR="001614F4" w:rsidRPr="00F9483E" w:rsidRDefault="001614F4" w:rsidP="001614F4">
      <w:pPr>
        <w:tabs>
          <w:tab w:val="left" w:pos="2835"/>
        </w:tabs>
        <w:jc w:val="both"/>
        <w:rPr>
          <w:sz w:val="24"/>
          <w:szCs w:val="24"/>
        </w:rPr>
      </w:pPr>
      <w:r w:rsidRPr="00F9483E">
        <w:rPr>
          <w:sz w:val="24"/>
          <w:szCs w:val="24"/>
        </w:rPr>
        <w:t>Az egyes régiók közötti különbség mind az összes, mind a külföldi vendégek esetében jelentős.</w:t>
      </w:r>
      <w:r w:rsidR="003C5E39" w:rsidRPr="00F9483E">
        <w:rPr>
          <w:sz w:val="24"/>
          <w:szCs w:val="24"/>
        </w:rPr>
        <w:t xml:space="preserve"> Kiemelkedik mindenekelőtt a főváros, mely a 2012-es összes vendégéjszaka tekintetében 33,7%-kal messze a legkeresettebb magyarországi célpont.</w:t>
      </w:r>
      <w:r w:rsidR="007C2287" w:rsidRPr="00F9483E">
        <w:rPr>
          <w:sz w:val="24"/>
          <w:szCs w:val="24"/>
        </w:rPr>
        <w:t xml:space="preserve"> Ugyanakkor ez az arány Borsod-Abaúj-Zemplén megye tekintetében mindössze 3,1%. A képet árnyalja azonban, hogy a megyék rangsorát tekintve 2012-ben Borsod a 9. legkeresettebb célpont volt. </w:t>
      </w:r>
    </w:p>
    <w:p w:rsidR="003C5E39" w:rsidRPr="003C5E39" w:rsidRDefault="003C5E39" w:rsidP="001614F4">
      <w:pPr>
        <w:tabs>
          <w:tab w:val="left" w:pos="2835"/>
        </w:tabs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0" name="Diagram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614F4" w:rsidRDefault="00E81A2B" w:rsidP="007C2287">
      <w:pPr>
        <w:tabs>
          <w:tab w:val="left" w:pos="283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2" name="Diagra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81A2B" w:rsidRDefault="00E81A2B" w:rsidP="00A877C7">
      <w:pPr>
        <w:tabs>
          <w:tab w:val="left" w:pos="2835"/>
        </w:tabs>
        <w:spacing w:after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Forrás KSH</w:t>
      </w:r>
    </w:p>
    <w:p w:rsidR="001614F4" w:rsidRPr="001614F4" w:rsidRDefault="001614F4" w:rsidP="001614F4">
      <w:pPr>
        <w:tabs>
          <w:tab w:val="left" w:pos="2835"/>
        </w:tabs>
        <w:jc w:val="center"/>
        <w:rPr>
          <w:b/>
          <w:sz w:val="28"/>
          <w:szCs w:val="28"/>
        </w:rPr>
      </w:pPr>
      <w:r w:rsidRPr="001614F4">
        <w:rPr>
          <w:b/>
          <w:sz w:val="28"/>
          <w:szCs w:val="28"/>
        </w:rPr>
        <w:t>A régión belüli megoszlás 201</w:t>
      </w:r>
      <w:r w:rsidR="00E81A2B">
        <w:rPr>
          <w:b/>
          <w:sz w:val="28"/>
          <w:szCs w:val="28"/>
        </w:rPr>
        <w:t>2</w:t>
      </w:r>
    </w:p>
    <w:tbl>
      <w:tblPr>
        <w:tblW w:w="5100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360"/>
        <w:gridCol w:w="1540"/>
      </w:tblGrid>
      <w:tr w:rsidR="001614F4" w:rsidRPr="001614F4" w:rsidTr="001614F4">
        <w:trPr>
          <w:trHeight w:val="31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1614F4" w:rsidP="00161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14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Vendégéjszakák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1614F4" w:rsidP="001614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14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567699" w:rsidRDefault="001614F4" w:rsidP="00161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E81A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ebből külföldi</w:t>
            </w:r>
          </w:p>
        </w:tc>
      </w:tr>
      <w:tr w:rsidR="001614F4" w:rsidRPr="001614F4" w:rsidTr="001614F4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1614F4" w:rsidP="00161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14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B-A-Z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567699" w:rsidP="00161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7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680 478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E81A2B" w:rsidRDefault="00E81A2B" w:rsidP="00161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1A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147 059</w:t>
            </w:r>
          </w:p>
        </w:tc>
      </w:tr>
      <w:tr w:rsidR="001614F4" w:rsidRPr="001614F4" w:rsidTr="001614F4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1614F4" w:rsidP="00161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14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Heves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567699" w:rsidP="00161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7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901 553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E81A2B" w:rsidRDefault="00E81A2B" w:rsidP="00E81A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1A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121 733</w:t>
            </w:r>
          </w:p>
        </w:tc>
      </w:tr>
      <w:tr w:rsidR="001614F4" w:rsidRPr="001614F4" w:rsidTr="001614F4">
        <w:trPr>
          <w:trHeight w:val="31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1614F4" w:rsidP="001614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14F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Nógrád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1614F4" w:rsidRDefault="00567699" w:rsidP="00161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676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93 682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4F4" w:rsidRPr="00E81A2B" w:rsidRDefault="00E81A2B" w:rsidP="001614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1A2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12 251</w:t>
            </w:r>
          </w:p>
        </w:tc>
      </w:tr>
    </w:tbl>
    <w:p w:rsidR="00A877C7" w:rsidRDefault="00A877C7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</w:p>
    <w:p w:rsidR="001614F4" w:rsidRDefault="00AE5542" w:rsidP="001614F4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megyénkbe látogató külföldiek átlagosan 2,</w:t>
      </w:r>
      <w:r w:rsidR="00987B1D">
        <w:rPr>
          <w:sz w:val="24"/>
          <w:szCs w:val="24"/>
        </w:rPr>
        <w:t>4</w:t>
      </w:r>
      <w:r>
        <w:rPr>
          <w:sz w:val="24"/>
          <w:szCs w:val="24"/>
        </w:rPr>
        <w:t xml:space="preserve"> éjszakát tartózkodtak a szálláshelyeken. </w:t>
      </w:r>
    </w:p>
    <w:p w:rsidR="007628FB" w:rsidRDefault="007628FB" w:rsidP="001614F4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legnagyobb számban a szomszédos vagy közeli országokból érkeztek:</w:t>
      </w:r>
    </w:p>
    <w:tbl>
      <w:tblPr>
        <w:tblW w:w="5301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720"/>
        <w:gridCol w:w="1621"/>
      </w:tblGrid>
      <w:tr w:rsidR="007628FB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7628FB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Ország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7628FB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Vendég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7628FB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Vendégéjszaka</w:t>
            </w:r>
          </w:p>
        </w:tc>
      </w:tr>
      <w:tr w:rsidR="007628FB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7628FB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EURÓPA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987B1D" w:rsidP="0076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56211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987B1D" w:rsidP="00762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132745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Lengyelország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16 269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40 757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Szlovákia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9 003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17 139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Németország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5 770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18 314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Románia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3 304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7 542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Csehország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2 297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6 387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ÁZSIA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1 742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7 116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Japán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674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Izrael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Kína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4 653</w:t>
            </w:r>
          </w:p>
        </w:tc>
      </w:tr>
      <w:tr w:rsidR="00987B1D" w:rsidRPr="00567699" w:rsidTr="00987B1D">
        <w:trPr>
          <w:trHeight w:val="36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AFRIKA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141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AMERIKA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1 679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5 214</w:t>
            </w:r>
          </w:p>
        </w:tc>
      </w:tr>
      <w:tr w:rsidR="00987B1D" w:rsidRPr="00567699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AUSZTRÁLIA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1D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315</w:t>
            </w:r>
          </w:p>
        </w:tc>
      </w:tr>
      <w:tr w:rsidR="007628FB" w:rsidRPr="007628FB" w:rsidTr="00987B1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7628FB" w:rsidP="007628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59855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8FB" w:rsidRPr="00987B1D" w:rsidRDefault="00987B1D" w:rsidP="00987B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7B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145531</w:t>
            </w:r>
          </w:p>
        </w:tc>
      </w:tr>
    </w:tbl>
    <w:p w:rsidR="00987B1D" w:rsidRPr="00F9483E" w:rsidRDefault="00987B1D" w:rsidP="007628FB">
      <w:pPr>
        <w:tabs>
          <w:tab w:val="left" w:pos="2835"/>
        </w:tabs>
        <w:jc w:val="both"/>
        <w:rPr>
          <w:sz w:val="24"/>
          <w:szCs w:val="24"/>
        </w:rPr>
      </w:pPr>
      <w:r w:rsidRPr="00F9483E">
        <w:rPr>
          <w:sz w:val="24"/>
          <w:szCs w:val="24"/>
        </w:rPr>
        <w:t>A</w:t>
      </w:r>
      <w:r w:rsidR="00BF1808">
        <w:rPr>
          <w:sz w:val="24"/>
          <w:szCs w:val="24"/>
        </w:rPr>
        <w:t>z előző</w:t>
      </w:r>
      <w:r w:rsidRPr="00F9483E">
        <w:rPr>
          <w:sz w:val="24"/>
          <w:szCs w:val="24"/>
        </w:rPr>
        <w:t xml:space="preserve"> évhez képest a vendégek száma 7%-os, míg a vendégéjszakák száma 11%-os növekedést mutat. </w:t>
      </w:r>
      <w:r w:rsidR="00BF1808">
        <w:rPr>
          <w:sz w:val="24"/>
          <w:szCs w:val="24"/>
        </w:rPr>
        <w:t xml:space="preserve">A Magyar Szállodák és Éttermek Szövetsége adatai szerint 2013 első negyedévében </w:t>
      </w:r>
      <w:r w:rsidR="002C591A">
        <w:rPr>
          <w:sz w:val="24"/>
          <w:szCs w:val="24"/>
        </w:rPr>
        <w:t>Észak-Magyarországon a vendégéjszakák száma 12,2 %-kal nőtt az előző évihez képest.</w:t>
      </w:r>
    </w:p>
    <w:p w:rsidR="007628FB" w:rsidRDefault="007628FB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EU-források jelentős részét használtuk fel idegenforgalmi fejlesztésekre, szálláshelyek bővítésére, attrakciók kialakítására. Úgy tűnik, ezek a befektetések csak részben tudták megvalósítani a hozzájuk fűzött reményeket. A jelentős kulturális fesztiválok sem tudták hosszabb ideig itt tartani a vendégeket, a termál-fürdők vagy a világörökségi helyszínek önmagukban nem elegendők </w:t>
      </w:r>
      <w:r w:rsidR="009230C8">
        <w:rPr>
          <w:sz w:val="24"/>
          <w:szCs w:val="24"/>
        </w:rPr>
        <w:t>a vendégek idecsábításához és megtartásához, ha azok nem kapcsolódnak össze legalább 10 napos, időjárástól függetlenül is értékes programokká.</w:t>
      </w:r>
    </w:p>
    <w:p w:rsidR="00A877C7" w:rsidRDefault="001100FA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idegenforgalmat meghatározó két fő tényező közül Borsod-Abaúj-Zemplén megye a környezeti-természeti adottságok területén jó helyzetben van, azonban az idegenforgalmat alapvetően befolyásoló marketing területén vannak hiányosságok. A nemzetközi felmérések alapján egy attrakció, vagy szálláshely akkor rögzül, válik lehetséges célponttá, ha a vásárló legalább 18-szor találkozik vele. Ehhez összehangolt, szervezett marketingtevékenységre volna szükség. Habár bizonyos városok, területek kifejezetten jó programokkal, attrakciókkal rendelkeznek (pl.: Szerencs-csokoládéfesztivál, Hegyalja fesztivál, Operafesztivál), egységes marketingkoncepció nélkül ezek egymással versengő területekké válnak</w:t>
      </w:r>
      <w:r w:rsidR="00A877C7">
        <w:rPr>
          <w:sz w:val="24"/>
          <w:szCs w:val="24"/>
        </w:rPr>
        <w:t>.</w:t>
      </w:r>
    </w:p>
    <w:p w:rsidR="00F74B64" w:rsidRDefault="009230C8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Az elmúlt évtizedben a kereskedelmi szálláshelyek száma jelentősen, 1500 férőhellyel bővült, alapvetően a szállodai férőhelyek száma nőtt. A kihasználtság azonban igen alacsony, és jelentős benne a szezonalitás, gyakorlatilag csak július-augusztus hónapokban van erősebb forgalom</w:t>
      </w:r>
      <w:r w:rsidR="00DE67F5">
        <w:rPr>
          <w:sz w:val="24"/>
          <w:szCs w:val="24"/>
        </w:rPr>
        <w:t>.</w:t>
      </w:r>
      <w:r w:rsidR="00BF1808">
        <w:rPr>
          <w:sz w:val="24"/>
          <w:szCs w:val="24"/>
        </w:rPr>
        <w:t xml:space="preserve"> Ezért újabb szálláshelyek létesítésének támogatása nem indokolt, elsősorban a meglévők színvonalának növelése, a szolgáltatások bővítése szükséges. Kivételt képeznek a nagyvárosokban még mindig romosan éktelenkedő egykori patinás szállodák, amelyek rendbehozatala nélkül nem lehet vonzó belvárosokról beszélni.</w:t>
      </w:r>
    </w:p>
    <w:p w:rsidR="009230C8" w:rsidRDefault="00BC3198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5" name="Diagram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67F5" w:rsidRPr="00C0093B" w:rsidRDefault="00DE67F5" w:rsidP="00DE67F5">
      <w:pPr>
        <w:tabs>
          <w:tab w:val="left" w:pos="2835"/>
        </w:tabs>
        <w:jc w:val="center"/>
        <w:rPr>
          <w:b/>
          <w:sz w:val="24"/>
          <w:szCs w:val="24"/>
        </w:rPr>
      </w:pPr>
      <w:r w:rsidRPr="00C0093B">
        <w:rPr>
          <w:b/>
          <w:sz w:val="24"/>
          <w:szCs w:val="24"/>
        </w:rPr>
        <w:t>A kereskedelmi szálláshelyek kihasználtsága Borsod-Abaúj-Zemplén megyében, 201</w:t>
      </w:r>
      <w:r w:rsidR="00C0093B" w:rsidRPr="00C0093B">
        <w:rPr>
          <w:b/>
          <w:sz w:val="24"/>
          <w:szCs w:val="24"/>
        </w:rPr>
        <w:t>1</w:t>
      </w:r>
      <w:r w:rsidRPr="00C0093B">
        <w:rPr>
          <w:b/>
          <w:sz w:val="24"/>
          <w:szCs w:val="24"/>
        </w:rPr>
        <w:t>-ben (%)</w:t>
      </w:r>
    </w:p>
    <w:tbl>
      <w:tblPr>
        <w:tblW w:w="5240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720"/>
        <w:gridCol w:w="1560"/>
      </w:tblGrid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szoba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férőhely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szálloda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22,1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- 4 csillagos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31,6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- 3 csillagos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19,1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panzió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13,8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ifj., turista szálló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5,7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üdülőház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14,2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11,5</w:t>
            </w:r>
          </w:p>
        </w:tc>
      </w:tr>
      <w:tr w:rsidR="00DE67F5" w:rsidRPr="007C2287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kemping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5,4</w:t>
            </w:r>
          </w:p>
        </w:tc>
      </w:tr>
      <w:tr w:rsidR="00DE67F5" w:rsidRPr="009230C8" w:rsidTr="00C0093B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DE67F5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összesen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19,1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7F5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093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C0093B" w:rsidRPr="009230C8" w:rsidTr="008D6924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3B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3B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93B" w:rsidRPr="00C0093B" w:rsidRDefault="00C0093B" w:rsidP="008D69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E67F5" w:rsidRDefault="00DE67F5" w:rsidP="007628FB">
      <w:pPr>
        <w:tabs>
          <w:tab w:val="left" w:pos="2835"/>
        </w:tabs>
        <w:jc w:val="both"/>
        <w:rPr>
          <w:sz w:val="24"/>
          <w:szCs w:val="24"/>
        </w:rPr>
      </w:pPr>
    </w:p>
    <w:p w:rsidR="00A877C7" w:rsidRDefault="009230C8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belföldi turizmusban sem sikerült még jelentősebb növekedést elérni, holott az országban jelenleg elsősorban itt mutatkozik növekedés. Az ország más régióiban nem ismerik eléggé értékeinket. A médiában az idegenforgalmi reklám még mindig Budapest- és Balaton-centrikus.</w:t>
      </w:r>
    </w:p>
    <w:p w:rsidR="002C591A" w:rsidRDefault="002C591A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</w:p>
    <w:p w:rsidR="001264F3" w:rsidRDefault="001264F3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ifjúsági turizmus jelentős mértékben visszaesett, mintegy 50-70 %-kal csökkent a korábbi évekhez képest. Az ilyen szálláshelyeket szolgáltató zempléni vállalkozások azt tapasztalják, hogy amíg régebben egy több napos osztálykiránduláson 25-28 gyerek vett részt, és 6-8 nem, addig most – elsősorban a családok anyagi helyzete miatt alig 8-10 gyerek tud jelentkezni. </w:t>
      </w:r>
    </w:p>
    <w:p w:rsidR="00CB1F61" w:rsidRDefault="001264F3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Sajnálatos, hogy az Erzsébet-utalványok elfogadó helyei között alig van megyei szálláshely. Az Erzsébet-program honlapja szerint az országban 64 különböző méretű üdülő vesz részt a különböző nyaraltatásokban (nagy-családosok, fogyatékkal élők, szociálisan rászorult gyerekek, illetve különböző kormányzati szervek</w:t>
      </w:r>
      <w:r w:rsidR="00CB1F61">
        <w:rPr>
          <w:sz w:val="24"/>
          <w:szCs w:val="24"/>
        </w:rPr>
        <w:t xml:space="preserve">), ebből mindössze 4 üdülő borsodi: </w:t>
      </w:r>
    </w:p>
    <w:p w:rsidR="00CB1F61" w:rsidRDefault="00CB1F61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- 1 Miskolc-Tapolca</w:t>
      </w:r>
    </w:p>
    <w:p w:rsidR="00CB1F61" w:rsidRDefault="00CB1F61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- 1 Bükkszentkereszt</w:t>
      </w:r>
    </w:p>
    <w:p w:rsidR="00CB1F61" w:rsidRDefault="00CB1F61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- 2 Mezőkövesd, ebből az egyik egy két appartmantból álló rokkant-szálláshely.</w:t>
      </w:r>
    </w:p>
    <w:p w:rsidR="00CB1F61" w:rsidRDefault="00CB1F61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Például Zemplénből, amely térséget a turizmus fellegvárának tartunk és fejleszteni szeretnénk, egyetlen egy sincs.</w:t>
      </w:r>
    </w:p>
    <w:p w:rsidR="001264F3" w:rsidRDefault="001264F3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591A" w:rsidRDefault="002C591A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SZÉP – kártya felhasználás a bevezetés évéhez képest lényegesen javult. </w:t>
      </w:r>
    </w:p>
    <w:p w:rsidR="002C591A" w:rsidRDefault="002C591A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Magyar Szállodák és Éttermek Szövetsége kimutatása szerint az egyes idegenforgalmi régiókban január-februárhónapban ez az alábbiak szerint alakult:</w:t>
      </w:r>
    </w:p>
    <w:p w:rsidR="002C591A" w:rsidRDefault="002C591A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Régió</w:t>
            </w:r>
          </w:p>
        </w:tc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2012. január-február</w:t>
            </w:r>
          </w:p>
          <w:p w:rsidR="001264F3" w:rsidRDefault="001264F3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SZÉP kártya</w:t>
            </w:r>
          </w:p>
        </w:tc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 január-február</w:t>
            </w:r>
          </w:p>
          <w:p w:rsidR="001264F3" w:rsidRDefault="001264F3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SZÉP kártya</w:t>
            </w:r>
          </w:p>
        </w:tc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</w:t>
            </w:r>
            <w:r w:rsidR="001264F3">
              <w:rPr>
                <w:sz w:val="24"/>
                <w:szCs w:val="24"/>
              </w:rPr>
              <w:t>, %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Balatoni régió</w:t>
            </w:r>
          </w:p>
        </w:tc>
        <w:tc>
          <w:tcPr>
            <w:tcW w:w="2303" w:type="dxa"/>
          </w:tcPr>
          <w:p w:rsidR="002C591A" w:rsidRDefault="002C591A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15814</w:t>
            </w:r>
          </w:p>
        </w:tc>
        <w:tc>
          <w:tcPr>
            <w:tcW w:w="2303" w:type="dxa"/>
          </w:tcPr>
          <w:p w:rsidR="002C591A" w:rsidRDefault="002C591A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80756</w:t>
            </w:r>
          </w:p>
        </w:tc>
        <w:tc>
          <w:tcPr>
            <w:tcW w:w="2303" w:type="dxa"/>
          </w:tcPr>
          <w:p w:rsidR="002C591A" w:rsidRDefault="002C591A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516,7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3499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4889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139,7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Északi régió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5516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67263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1219,4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Keleti régió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2396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40229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1679,0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Dél-Dunántúli régió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13695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879,6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Dél-Alföldi régió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11947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646,1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Nyugati régió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27926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44552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159,5</w:t>
            </w:r>
          </w:p>
        </w:tc>
      </w:tr>
      <w:tr w:rsidR="002C591A" w:rsidTr="002C591A">
        <w:tc>
          <w:tcPr>
            <w:tcW w:w="2303" w:type="dxa"/>
          </w:tcPr>
          <w:p w:rsidR="002C591A" w:rsidRDefault="002C591A" w:rsidP="00A877C7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58398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263331</w:t>
            </w:r>
          </w:p>
        </w:tc>
        <w:tc>
          <w:tcPr>
            <w:tcW w:w="2303" w:type="dxa"/>
          </w:tcPr>
          <w:p w:rsidR="002C591A" w:rsidRDefault="001264F3" w:rsidP="001264F3">
            <w:pPr>
              <w:tabs>
                <w:tab w:val="left" w:pos="28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450,9</w:t>
            </w:r>
          </w:p>
        </w:tc>
      </w:tr>
    </w:tbl>
    <w:p w:rsidR="002C591A" w:rsidRDefault="002C591A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</w:p>
    <w:p w:rsidR="001264F3" w:rsidRDefault="001264F3" w:rsidP="00A877C7">
      <w:pPr>
        <w:tabs>
          <w:tab w:val="left" w:pos="2835"/>
        </w:tabs>
        <w:spacing w:after="0"/>
        <w:jc w:val="both"/>
        <w:rPr>
          <w:sz w:val="24"/>
          <w:szCs w:val="24"/>
        </w:rPr>
      </w:pPr>
    </w:p>
    <w:p w:rsidR="00CB1F61" w:rsidRDefault="00DE67F5" w:rsidP="00F74B64">
      <w:pPr>
        <w:tabs>
          <w:tab w:val="left" w:pos="2835"/>
        </w:tabs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A vendéglátás forgalmát a helyi, lakossági, közületi fogyasztás és a turizmus határozza meg. </w:t>
      </w:r>
    </w:p>
    <w:p w:rsidR="008B4EC0" w:rsidRDefault="008B4EC0" w:rsidP="00F74B64">
      <w:pPr>
        <w:tabs>
          <w:tab w:val="left" w:pos="2835"/>
        </w:tabs>
        <w:jc w:val="center"/>
        <w:rPr>
          <w:sz w:val="24"/>
          <w:szCs w:val="24"/>
        </w:rPr>
      </w:pPr>
      <w:r w:rsidRPr="00C0093B">
        <w:rPr>
          <w:b/>
          <w:sz w:val="28"/>
          <w:szCs w:val="28"/>
        </w:rPr>
        <w:t>A vendéglátóhelyek megoszlása típusok szerint 2011</w:t>
      </w:r>
    </w:p>
    <w:p w:rsidR="008B4EC0" w:rsidRDefault="008B4EC0" w:rsidP="008B4EC0">
      <w:pPr>
        <w:tabs>
          <w:tab w:val="left" w:pos="2835"/>
        </w:tabs>
        <w:jc w:val="center"/>
        <w:rPr>
          <w:sz w:val="24"/>
          <w:szCs w:val="24"/>
        </w:rPr>
      </w:pPr>
      <w:r w:rsidRPr="00C0093B">
        <w:rPr>
          <w:noProof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3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B4EC0" w:rsidRDefault="00DE67F5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Megyénkben a lakosság életszínvonala nem teszi lehetővé a vendéglőkben, éttermekben történő gyakori hétvégi étkezést, az éttermek napközben minimális forgalmat bonyolítanak le. </w:t>
      </w:r>
    </w:p>
    <w:p w:rsidR="00DE67F5" w:rsidRDefault="00DE67F5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Azok az éttermek, amelyek hivatalok, vállalatok közelében működnek, a napi menza-szerű gyorsétkeztetésre állnak rá. A magasabb színvonalúak  családi vagy vállalati rendezvényekre, üzleti bemutatókra, bálokra, esküvőkre specializálódnak, így tudják fenntartani magukat. </w:t>
      </w:r>
      <w:r w:rsidR="008B4EC0">
        <w:rPr>
          <w:sz w:val="24"/>
          <w:szCs w:val="24"/>
        </w:rPr>
        <w:t xml:space="preserve">Azonban az az átrendeződés, mely szerint a hagyományos nagyrendezvények (esküvők, osztálytalálkozók) vendéglátását a munkahelyi és közétkeztetést végző cégek veszik át, </w:t>
      </w:r>
      <w:r w:rsidR="00BF1808">
        <w:rPr>
          <w:sz w:val="24"/>
          <w:szCs w:val="24"/>
        </w:rPr>
        <w:t xml:space="preserve">olcsóbb, de lényegesen alacsonyabb színvonalú körülményeket kínálva, </w:t>
      </w:r>
      <w:r w:rsidR="008B4EC0">
        <w:rPr>
          <w:sz w:val="24"/>
          <w:szCs w:val="24"/>
        </w:rPr>
        <w:t>tovább csökkenti ezen éttermek forgalmát.</w:t>
      </w:r>
      <w:r w:rsidR="00F74B64">
        <w:rPr>
          <w:sz w:val="24"/>
          <w:szCs w:val="24"/>
        </w:rPr>
        <w:t xml:space="preserve"> (Több vendéglős állítása szerint az elmúlt évtized legjobb évéhez képest 30 %-kal csökkent a forgalom).</w:t>
      </w:r>
    </w:p>
    <w:p w:rsidR="0046285C" w:rsidRDefault="0046285C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A fizetőképes kereslet hiánya miatt sorra zárnak be a nagyobb városokban is az éttermek, 201</w:t>
      </w:r>
      <w:r w:rsidR="000942F8">
        <w:rPr>
          <w:sz w:val="24"/>
          <w:szCs w:val="24"/>
        </w:rPr>
        <w:t>2</w:t>
      </w:r>
      <w:r>
        <w:rPr>
          <w:sz w:val="24"/>
          <w:szCs w:val="24"/>
        </w:rPr>
        <w:t>-ben a megyében kevesebb vendéglátóhely működ</w:t>
      </w:r>
      <w:r w:rsidR="000942F8">
        <w:rPr>
          <w:sz w:val="24"/>
          <w:szCs w:val="24"/>
        </w:rPr>
        <w:t>ött</w:t>
      </w:r>
      <w:r>
        <w:rPr>
          <w:sz w:val="24"/>
          <w:szCs w:val="24"/>
        </w:rPr>
        <w:t>, mint 2000-ben.</w:t>
      </w:r>
      <w:r w:rsidR="000942F8">
        <w:rPr>
          <w:sz w:val="24"/>
          <w:szCs w:val="24"/>
        </w:rPr>
        <w:t xml:space="preserve"> </w:t>
      </w:r>
    </w:p>
    <w:p w:rsidR="008B4EC0" w:rsidRDefault="008B4EC0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Diagram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9483E" w:rsidRDefault="00F9483E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vendéglátóhelyek helyzetét súlyosbítja még a fokozódó pincérelvándorlás is. </w:t>
      </w:r>
      <w:r w:rsidR="00CB1F61">
        <w:rPr>
          <w:sz w:val="24"/>
          <w:szCs w:val="24"/>
        </w:rPr>
        <w:t xml:space="preserve">Ezt a folyamatot eddig csak a Dunántúlon érzékelték, most már megyénkben is megjelent. </w:t>
      </w:r>
      <w:r>
        <w:rPr>
          <w:sz w:val="24"/>
          <w:szCs w:val="24"/>
        </w:rPr>
        <w:t>A jól képzett,</w:t>
      </w:r>
      <w:r w:rsidR="00CB1F61">
        <w:rPr>
          <w:sz w:val="24"/>
          <w:szCs w:val="24"/>
        </w:rPr>
        <w:t xml:space="preserve"> idegen</w:t>
      </w:r>
      <w:r>
        <w:rPr>
          <w:sz w:val="24"/>
          <w:szCs w:val="24"/>
        </w:rPr>
        <w:t xml:space="preserve"> nyelvet/nyelveket beszélő pincérek</w:t>
      </w:r>
      <w:r w:rsidRPr="00F948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egyre nagyobb számban keresnek külföldön munkát. </w:t>
      </w:r>
      <w:r w:rsidR="00CB1F61">
        <w:rPr>
          <w:sz w:val="24"/>
          <w:szCs w:val="24"/>
        </w:rPr>
        <w:t xml:space="preserve">Több vendéglős panaszolja, hogy már nincs fiatal pincére, hiszen amit Nyugat-Európában kínálnak, a helyi vállalkozások esetében teljesíthetetlen. (1500-2000 Euro fizetés, ezen túl napi háromszori étkezés, szállás.) </w:t>
      </w:r>
      <w:r>
        <w:rPr>
          <w:sz w:val="24"/>
          <w:szCs w:val="24"/>
        </w:rPr>
        <w:t>A minőségi munkaerő elvándorlása pedig a minőségi vendéglátás rovására mehet.</w:t>
      </w:r>
      <w:r w:rsidR="00CB1F61">
        <w:rPr>
          <w:sz w:val="24"/>
          <w:szCs w:val="24"/>
        </w:rPr>
        <w:t xml:space="preserve"> Ezt a kivándorlást tapasztalják egyébként a kereskedők is, közismert a húsfeldolgozó szektorban a jelentős kivándorlás (hentesek, csontozók, stb),de ma már a kereskedelmi dolgozóknál is megkezdődött ez a folyamat.</w:t>
      </w:r>
    </w:p>
    <w:p w:rsidR="00CB1F61" w:rsidRDefault="00CB1F61" w:rsidP="007628FB">
      <w:pPr>
        <w:tabs>
          <w:tab w:val="left" w:pos="2835"/>
        </w:tabs>
        <w:jc w:val="both"/>
        <w:rPr>
          <w:sz w:val="24"/>
          <w:szCs w:val="24"/>
        </w:rPr>
      </w:pPr>
    </w:p>
    <w:p w:rsidR="00CB1F61" w:rsidRPr="00F74B64" w:rsidRDefault="00CB1F61" w:rsidP="007628FB">
      <w:pPr>
        <w:tabs>
          <w:tab w:val="left" w:pos="2835"/>
        </w:tabs>
        <w:jc w:val="both"/>
        <w:rPr>
          <w:b/>
          <w:sz w:val="24"/>
          <w:szCs w:val="24"/>
        </w:rPr>
      </w:pPr>
      <w:r w:rsidRPr="00F74B64">
        <w:rPr>
          <w:b/>
          <w:sz w:val="24"/>
          <w:szCs w:val="24"/>
        </w:rPr>
        <w:t xml:space="preserve">Összefoglalva: </w:t>
      </w:r>
    </w:p>
    <w:p w:rsidR="00CB1F61" w:rsidRDefault="00CB1F61" w:rsidP="007628FB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 a kereskedelem, mind a vendéglátás helyzete nagy mértékben függ a lakosság anyagi lehetőségeitől, s térségünk sajnos még nem tudott felzárkózni az ország átlagos szintjére. </w:t>
      </w:r>
      <w:r w:rsidR="007F470D">
        <w:rPr>
          <w:sz w:val="24"/>
          <w:szCs w:val="24"/>
        </w:rPr>
        <w:t>Az EU 2014-2020 közötti időszakában a támogatások elérésében és felhasználásában</w:t>
      </w:r>
      <w:r>
        <w:rPr>
          <w:sz w:val="24"/>
          <w:szCs w:val="24"/>
        </w:rPr>
        <w:t xml:space="preserve"> </w:t>
      </w:r>
      <w:r w:rsidR="007F470D">
        <w:rPr>
          <w:sz w:val="24"/>
          <w:szCs w:val="24"/>
        </w:rPr>
        <w:t>ezért is fontos, hogy azokat jó, munkahelyeket, megfelelő jövedelmet biztosító programok megvalósítására fordítsuk.</w:t>
      </w:r>
    </w:p>
    <w:p w:rsidR="00827E5D" w:rsidRDefault="00827E5D" w:rsidP="007628FB">
      <w:pPr>
        <w:tabs>
          <w:tab w:val="left" w:pos="2835"/>
        </w:tabs>
        <w:jc w:val="both"/>
        <w:rPr>
          <w:sz w:val="24"/>
          <w:szCs w:val="24"/>
        </w:rPr>
      </w:pPr>
    </w:p>
    <w:p w:rsidR="0046285C" w:rsidRDefault="0046285C" w:rsidP="007628FB">
      <w:pPr>
        <w:tabs>
          <w:tab w:val="left" w:pos="2835"/>
        </w:tabs>
        <w:jc w:val="both"/>
        <w:rPr>
          <w:sz w:val="24"/>
          <w:szCs w:val="24"/>
        </w:rPr>
      </w:pPr>
    </w:p>
    <w:p w:rsidR="0046285C" w:rsidRDefault="0046285C" w:rsidP="001614F4">
      <w:pPr>
        <w:tabs>
          <w:tab w:val="left" w:pos="2835"/>
        </w:tabs>
        <w:jc w:val="center"/>
        <w:rPr>
          <w:sz w:val="24"/>
          <w:szCs w:val="24"/>
        </w:rPr>
      </w:pPr>
    </w:p>
    <w:p w:rsidR="0046285C" w:rsidRDefault="0046285C" w:rsidP="001614F4">
      <w:pPr>
        <w:tabs>
          <w:tab w:val="left" w:pos="2835"/>
        </w:tabs>
        <w:jc w:val="center"/>
        <w:rPr>
          <w:sz w:val="24"/>
          <w:szCs w:val="24"/>
        </w:rPr>
      </w:pPr>
    </w:p>
    <w:sectPr w:rsidR="0046285C" w:rsidSect="00496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2899"/>
    <w:multiLevelType w:val="hybridMultilevel"/>
    <w:tmpl w:val="68A62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F3"/>
    <w:rsid w:val="000108D9"/>
    <w:rsid w:val="00047A6C"/>
    <w:rsid w:val="000812F3"/>
    <w:rsid w:val="000942F8"/>
    <w:rsid w:val="000F0076"/>
    <w:rsid w:val="000F3C8B"/>
    <w:rsid w:val="001100FA"/>
    <w:rsid w:val="001264F3"/>
    <w:rsid w:val="001614F4"/>
    <w:rsid w:val="00182FAE"/>
    <w:rsid w:val="00190067"/>
    <w:rsid w:val="002210A5"/>
    <w:rsid w:val="00266E2D"/>
    <w:rsid w:val="002A3D2A"/>
    <w:rsid w:val="002C2A90"/>
    <w:rsid w:val="002C591A"/>
    <w:rsid w:val="002E58A6"/>
    <w:rsid w:val="00307D52"/>
    <w:rsid w:val="00355B92"/>
    <w:rsid w:val="003C5E39"/>
    <w:rsid w:val="00402FA9"/>
    <w:rsid w:val="0046285C"/>
    <w:rsid w:val="004964DF"/>
    <w:rsid w:val="004D2977"/>
    <w:rsid w:val="004E2910"/>
    <w:rsid w:val="005512AA"/>
    <w:rsid w:val="00567699"/>
    <w:rsid w:val="0060568E"/>
    <w:rsid w:val="00627D05"/>
    <w:rsid w:val="0065329C"/>
    <w:rsid w:val="006D38BB"/>
    <w:rsid w:val="00711945"/>
    <w:rsid w:val="007463C9"/>
    <w:rsid w:val="007628FB"/>
    <w:rsid w:val="0079652F"/>
    <w:rsid w:val="007C2287"/>
    <w:rsid w:val="007F1492"/>
    <w:rsid w:val="007F470D"/>
    <w:rsid w:val="00827E5D"/>
    <w:rsid w:val="00832CAF"/>
    <w:rsid w:val="00885C73"/>
    <w:rsid w:val="008B3B9C"/>
    <w:rsid w:val="008B4EC0"/>
    <w:rsid w:val="008C0EAB"/>
    <w:rsid w:val="008E44FB"/>
    <w:rsid w:val="009230C8"/>
    <w:rsid w:val="00933BE0"/>
    <w:rsid w:val="00951AF9"/>
    <w:rsid w:val="00987B1D"/>
    <w:rsid w:val="00996776"/>
    <w:rsid w:val="009A0B64"/>
    <w:rsid w:val="009E60F2"/>
    <w:rsid w:val="00A04747"/>
    <w:rsid w:val="00A5037A"/>
    <w:rsid w:val="00A673FD"/>
    <w:rsid w:val="00A8141F"/>
    <w:rsid w:val="00A877C7"/>
    <w:rsid w:val="00AA16C1"/>
    <w:rsid w:val="00AE5542"/>
    <w:rsid w:val="00B25C6B"/>
    <w:rsid w:val="00B36A19"/>
    <w:rsid w:val="00BC3198"/>
    <w:rsid w:val="00BE47CF"/>
    <w:rsid w:val="00BF1808"/>
    <w:rsid w:val="00C0093B"/>
    <w:rsid w:val="00C355B0"/>
    <w:rsid w:val="00CB1F61"/>
    <w:rsid w:val="00CE033E"/>
    <w:rsid w:val="00D21204"/>
    <w:rsid w:val="00D41B55"/>
    <w:rsid w:val="00D92527"/>
    <w:rsid w:val="00DE67F5"/>
    <w:rsid w:val="00E47BC2"/>
    <w:rsid w:val="00E81A2B"/>
    <w:rsid w:val="00EA2630"/>
    <w:rsid w:val="00EB71C2"/>
    <w:rsid w:val="00EC65E3"/>
    <w:rsid w:val="00ED35F6"/>
    <w:rsid w:val="00ED5D6E"/>
    <w:rsid w:val="00EE4970"/>
    <w:rsid w:val="00F74B64"/>
    <w:rsid w:val="00F80F09"/>
    <w:rsid w:val="00F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8D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5329C"/>
    <w:pPr>
      <w:ind w:left="720"/>
      <w:contextualSpacing/>
    </w:pPr>
  </w:style>
  <w:style w:type="table" w:styleId="Rcsostblzat">
    <w:name w:val="Table Grid"/>
    <w:basedOn w:val="Normltblzat"/>
    <w:uiPriority w:val="59"/>
    <w:rsid w:val="002C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8D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5329C"/>
    <w:pPr>
      <w:ind w:left="720"/>
      <w:contextualSpacing/>
    </w:pPr>
  </w:style>
  <w:style w:type="table" w:styleId="Rcsostblzat">
    <w:name w:val="Table Grid"/>
    <w:basedOn w:val="Normltblzat"/>
    <w:uiPriority w:val="59"/>
    <w:rsid w:val="002C5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LN&#214;KI%20TAN&#193;CSAD&#211;\Havi%20jelent&#233;sek\2012.%20j&#250;nius\BAZ_2010_MIND&#214;SSZESEN_megyei+KAIG+elt&#233;r&#337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LN&#214;KI%20TAN&#193;CSAD&#211;\Havi%20jelent&#233;sek\2012.%20j&#250;nius\Vend&#233;gl&#225;t&#225;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na\Desktop\Munkaf&#252;zet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LN&#214;KI%20TAN&#193;CSAD&#211;\Havi%20jelent&#233;sek\2012.%20j&#250;nius\kiskereskedele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B-A-Z megye nettó árbevételének ágazati megoszlása 201</a:t>
            </a:r>
            <a:r>
              <a:rPr lang="hu-HU"/>
              <a:t>1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Vegyipar
2</a:t>
                    </a:r>
                    <a:r>
                      <a:rPr lang="hu-HU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Kohászat
</a:t>
                    </a:r>
                    <a:r>
                      <a:rPr lang="hu-H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Gépipar
2</a:t>
                    </a:r>
                    <a:r>
                      <a:rPr lang="hu-H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Energia- Vízterm- Hulladékgazd.
</a:t>
                    </a:r>
                    <a:r>
                      <a:rPr lang="hu-H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hu-HU"/>
                      <a:t>Építőipar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Közlekedés
</a:t>
                    </a:r>
                    <a:r>
                      <a:rPr lang="hu-H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Nem anyagi ágak
</a:t>
                    </a:r>
                    <a:r>
                      <a:rPr lang="hu-H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'Telj.(3sz mell)'!$A$59:$A$74</c:f>
              <c:strCache>
                <c:ptCount val="16"/>
                <c:pt idx="0">
                  <c:v>Mezőgazdaság-erdőgazdaság</c:v>
                </c:pt>
                <c:pt idx="1">
                  <c:v>Bányászat</c:v>
                </c:pt>
                <c:pt idx="2">
                  <c:v>Élelmiszeripar</c:v>
                </c:pt>
                <c:pt idx="3">
                  <c:v>Textilipar</c:v>
                </c:pt>
                <c:pt idx="4">
                  <c:v>Fa-papír-nyomdaipar</c:v>
                </c:pt>
                <c:pt idx="5">
                  <c:v>Vegyipar</c:v>
                </c:pt>
                <c:pt idx="6">
                  <c:v>Nemfém ásványi term.gyártás</c:v>
                </c:pt>
                <c:pt idx="7">
                  <c:v>Kohászat</c:v>
                </c:pt>
                <c:pt idx="8">
                  <c:v>Gépipar</c:v>
                </c:pt>
                <c:pt idx="9">
                  <c:v>Egyéb feldolgozó ipar</c:v>
                </c:pt>
                <c:pt idx="10">
                  <c:v>Energia- Vízterm- Hulladékgazd.</c:v>
                </c:pt>
                <c:pt idx="11">
                  <c:v>Építőipar</c:v>
                </c:pt>
                <c:pt idx="12">
                  <c:v>Kereskedelem</c:v>
                </c:pt>
                <c:pt idx="13">
                  <c:v>Vendéglátás</c:v>
                </c:pt>
                <c:pt idx="14">
                  <c:v>Közlekedés</c:v>
                </c:pt>
                <c:pt idx="15">
                  <c:v>Nem anyagi ágak</c:v>
                </c:pt>
              </c:strCache>
            </c:strRef>
          </c:cat>
          <c:val>
            <c:numRef>
              <c:f>'Telj.(3sz mell)'!$B$59:$B$74</c:f>
              <c:numCache>
                <c:formatCode>General</c:formatCode>
                <c:ptCount val="16"/>
                <c:pt idx="0">
                  <c:v>44454</c:v>
                </c:pt>
                <c:pt idx="1">
                  <c:v>8139</c:v>
                </c:pt>
                <c:pt idx="2">
                  <c:v>95480</c:v>
                </c:pt>
                <c:pt idx="3">
                  <c:v>10002</c:v>
                </c:pt>
                <c:pt idx="4">
                  <c:v>13646</c:v>
                </c:pt>
                <c:pt idx="5">
                  <c:v>676548</c:v>
                </c:pt>
                <c:pt idx="6">
                  <c:v>6120</c:v>
                </c:pt>
                <c:pt idx="7">
                  <c:v>139442</c:v>
                </c:pt>
                <c:pt idx="8">
                  <c:v>547750</c:v>
                </c:pt>
                <c:pt idx="9">
                  <c:v>6468</c:v>
                </c:pt>
                <c:pt idx="10">
                  <c:v>338197</c:v>
                </c:pt>
                <c:pt idx="11">
                  <c:v>99025</c:v>
                </c:pt>
                <c:pt idx="12">
                  <c:v>404774</c:v>
                </c:pt>
                <c:pt idx="13">
                  <c:v>14234</c:v>
                </c:pt>
                <c:pt idx="14">
                  <c:v>62361</c:v>
                </c:pt>
                <c:pt idx="15">
                  <c:v>148995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1" i="0" baseline="0"/>
              <a:t>Kereskedelmi szálláshelyek B-A-Z megyében</a:t>
            </a:r>
            <a:endParaRPr lang="hu-HU" sz="1400" baseline="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szálláshely</c:v>
                </c:pt>
              </c:strCache>
            </c:strRef>
          </c:tx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Munka1!$B$2:$B$13</c:f>
              <c:numCache>
                <c:formatCode>General</c:formatCode>
                <c:ptCount val="12"/>
                <c:pt idx="0">
                  <c:v>16405</c:v>
                </c:pt>
                <c:pt idx="1">
                  <c:v>17437</c:v>
                </c:pt>
                <c:pt idx="2">
                  <c:v>17947</c:v>
                </c:pt>
                <c:pt idx="3">
                  <c:v>19058</c:v>
                </c:pt>
                <c:pt idx="4">
                  <c:v>17954</c:v>
                </c:pt>
                <c:pt idx="5">
                  <c:v>18795</c:v>
                </c:pt>
                <c:pt idx="6">
                  <c:v>17761</c:v>
                </c:pt>
                <c:pt idx="7">
                  <c:v>19798</c:v>
                </c:pt>
                <c:pt idx="8">
                  <c:v>19465</c:v>
                </c:pt>
                <c:pt idx="9">
                  <c:v>17891</c:v>
                </c:pt>
                <c:pt idx="10">
                  <c:v>17951</c:v>
                </c:pt>
                <c:pt idx="11">
                  <c:v>20528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szálloda</c:v>
                </c:pt>
              </c:strCache>
            </c:strRef>
          </c:tx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Munka1!$C$2:$C$13</c:f>
              <c:numCache>
                <c:formatCode>General</c:formatCode>
                <c:ptCount val="12"/>
                <c:pt idx="0">
                  <c:v>2455</c:v>
                </c:pt>
                <c:pt idx="1">
                  <c:v>2585</c:v>
                </c:pt>
                <c:pt idx="2">
                  <c:v>2587</c:v>
                </c:pt>
                <c:pt idx="3">
                  <c:v>2947</c:v>
                </c:pt>
                <c:pt idx="4">
                  <c:v>2975</c:v>
                </c:pt>
                <c:pt idx="5">
                  <c:v>3163</c:v>
                </c:pt>
                <c:pt idx="6">
                  <c:v>2982</c:v>
                </c:pt>
                <c:pt idx="7">
                  <c:v>3768</c:v>
                </c:pt>
                <c:pt idx="8">
                  <c:v>3778</c:v>
                </c:pt>
                <c:pt idx="9">
                  <c:v>4109</c:v>
                </c:pt>
                <c:pt idx="10">
                  <c:v>4178</c:v>
                </c:pt>
                <c:pt idx="11">
                  <c:v>4984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584896"/>
        <c:axId val="81586432"/>
      </c:lineChart>
      <c:catAx>
        <c:axId val="8158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586432"/>
        <c:crosses val="autoZero"/>
        <c:auto val="1"/>
        <c:lblAlgn val="ctr"/>
        <c:lblOffset val="100"/>
        <c:noMultiLvlLbl val="0"/>
      </c:catAx>
      <c:valAx>
        <c:axId val="815864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Db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15848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vendéglátás!$A$20:$A$23</c:f>
              <c:strCache>
                <c:ptCount val="4"/>
                <c:pt idx="0">
                  <c:v>Étterem, büfé</c:v>
                </c:pt>
                <c:pt idx="1">
                  <c:v>Cukrászda</c:v>
                </c:pt>
                <c:pt idx="2">
                  <c:v>Italüzlet, zenés szórakozóhely</c:v>
                </c:pt>
                <c:pt idx="3">
                  <c:v>Munkahelyi, közétkeztetés</c:v>
                </c:pt>
              </c:strCache>
            </c:strRef>
          </c:cat>
          <c:val>
            <c:numRef>
              <c:f>vendéglátás!$B$20:$B$23</c:f>
              <c:numCache>
                <c:formatCode>General</c:formatCode>
                <c:ptCount val="4"/>
                <c:pt idx="0">
                  <c:v>1220</c:v>
                </c:pt>
                <c:pt idx="1">
                  <c:v>190</c:v>
                </c:pt>
                <c:pt idx="2">
                  <c:v>1463</c:v>
                </c:pt>
                <c:pt idx="3">
                  <c:v>433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Vendéglátó helyek száma Borsod megyében</c:v>
                </c:pt>
              </c:strCache>
            </c:strRef>
          </c:tx>
          <c:invertIfNegative val="0"/>
          <c:cat>
            <c:numRef>
              <c:f>Munka1!$A$2:$A$14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Munka1!$B$2:$B$14</c:f>
              <c:numCache>
                <c:formatCode>General</c:formatCode>
                <c:ptCount val="13"/>
                <c:pt idx="0">
                  <c:v>3339</c:v>
                </c:pt>
                <c:pt idx="1">
                  <c:v>3450</c:v>
                </c:pt>
                <c:pt idx="2">
                  <c:v>3560</c:v>
                </c:pt>
                <c:pt idx="3">
                  <c:v>3673</c:v>
                </c:pt>
                <c:pt idx="4">
                  <c:v>3650</c:v>
                </c:pt>
                <c:pt idx="5">
                  <c:v>3626</c:v>
                </c:pt>
                <c:pt idx="6">
                  <c:v>3551</c:v>
                </c:pt>
                <c:pt idx="7">
                  <c:v>3645</c:v>
                </c:pt>
                <c:pt idx="8">
                  <c:v>3656</c:v>
                </c:pt>
                <c:pt idx="10">
                  <c:v>3363</c:v>
                </c:pt>
                <c:pt idx="11">
                  <c:v>3306</c:v>
                </c:pt>
                <c:pt idx="12">
                  <c:v>3176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6152192"/>
        <c:axId val="96153984"/>
      </c:barChart>
      <c:catAx>
        <c:axId val="9615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6153984"/>
        <c:crosses val="autoZero"/>
        <c:auto val="1"/>
        <c:lblAlgn val="ctr"/>
        <c:lblOffset val="100"/>
        <c:noMultiLvlLbl val="0"/>
      </c:catAx>
      <c:valAx>
        <c:axId val="96153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6152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 társas vállalkozásoknál foglalkoztatottak ágazati megoszlása B-A-Z megyében 2011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Munka1!$A$1:$A$16</c:f>
              <c:strCache>
                <c:ptCount val="16"/>
                <c:pt idx="0">
                  <c:v>Mezőgazdaság</c:v>
                </c:pt>
                <c:pt idx="1">
                  <c:v>Bányászat </c:v>
                </c:pt>
                <c:pt idx="2">
                  <c:v>Élelmiszeripar</c:v>
                </c:pt>
                <c:pt idx="3">
                  <c:v>Textilipar</c:v>
                </c:pt>
                <c:pt idx="4">
                  <c:v>Fa-papír-ipar</c:v>
                </c:pt>
                <c:pt idx="5">
                  <c:v>Vegyipar</c:v>
                </c:pt>
                <c:pt idx="6">
                  <c:v>Nemfémes ásványi t</c:v>
                </c:pt>
                <c:pt idx="7">
                  <c:v>Kohászat</c:v>
                </c:pt>
                <c:pt idx="8">
                  <c:v>Gépipar</c:v>
                </c:pt>
                <c:pt idx="9">
                  <c:v>Egyéb feld.</c:v>
                </c:pt>
                <c:pt idx="10">
                  <c:v>Energia, víz, hull</c:v>
                </c:pt>
                <c:pt idx="11">
                  <c:v>Építőipar</c:v>
                </c:pt>
                <c:pt idx="12">
                  <c:v>Kereskedelem</c:v>
                </c:pt>
                <c:pt idx="13">
                  <c:v>Vendéglátás</c:v>
                </c:pt>
                <c:pt idx="14">
                  <c:v>Közlekedés</c:v>
                </c:pt>
                <c:pt idx="15">
                  <c:v>Nem anyagi á.</c:v>
                </c:pt>
              </c:strCache>
            </c:strRef>
          </c:cat>
          <c:val>
            <c:numRef>
              <c:f>Munka1!$B$1:$B$16</c:f>
              <c:numCache>
                <c:formatCode>General</c:formatCode>
                <c:ptCount val="16"/>
                <c:pt idx="0">
                  <c:v>8090</c:v>
                </c:pt>
                <c:pt idx="1">
                  <c:v>1122</c:v>
                </c:pt>
                <c:pt idx="2">
                  <c:v>7441</c:v>
                </c:pt>
                <c:pt idx="3">
                  <c:v>1869</c:v>
                </c:pt>
                <c:pt idx="4">
                  <c:v>1942</c:v>
                </c:pt>
                <c:pt idx="5">
                  <c:v>25539</c:v>
                </c:pt>
                <c:pt idx="6">
                  <c:v>760</c:v>
                </c:pt>
                <c:pt idx="7">
                  <c:v>19140</c:v>
                </c:pt>
                <c:pt idx="8">
                  <c:v>34971</c:v>
                </c:pt>
                <c:pt idx="9">
                  <c:v>1294</c:v>
                </c:pt>
                <c:pt idx="10">
                  <c:v>10073</c:v>
                </c:pt>
                <c:pt idx="11">
                  <c:v>11846</c:v>
                </c:pt>
                <c:pt idx="12">
                  <c:v>18527</c:v>
                </c:pt>
                <c:pt idx="13">
                  <c:v>2840</c:v>
                </c:pt>
                <c:pt idx="14">
                  <c:v>10041</c:v>
                </c:pt>
                <c:pt idx="15">
                  <c:v>27300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Kiskereskedelmi üzletek száma B-A-Z megyében</a:t>
            </a:r>
            <a:endParaRPr lang="en-US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üzletek</c:v>
                </c:pt>
              </c:strCache>
            </c:strRef>
          </c:tx>
          <c:invertIfNegative val="0"/>
          <c:cat>
            <c:numRef>
              <c:f>Munka1!$A$2:$A$14</c:f>
              <c:numCache>
                <c:formatCode>General</c:formatCod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</c:numCache>
            </c:numRef>
          </c:cat>
          <c:val>
            <c:numRef>
              <c:f>Munka1!$B$2:$B$14</c:f>
              <c:numCache>
                <c:formatCode>General</c:formatCode>
                <c:ptCount val="13"/>
                <c:pt idx="0">
                  <c:v>9548</c:v>
                </c:pt>
                <c:pt idx="1">
                  <c:v>9726</c:v>
                </c:pt>
                <c:pt idx="2">
                  <c:v>9897</c:v>
                </c:pt>
                <c:pt idx="3">
                  <c:v>10072</c:v>
                </c:pt>
                <c:pt idx="4">
                  <c:v>10126</c:v>
                </c:pt>
                <c:pt idx="5">
                  <c:v>9860</c:v>
                </c:pt>
                <c:pt idx="6">
                  <c:v>9495</c:v>
                </c:pt>
                <c:pt idx="7">
                  <c:v>9453</c:v>
                </c:pt>
                <c:pt idx="8">
                  <c:v>9417</c:v>
                </c:pt>
                <c:pt idx="10">
                  <c:v>8814</c:v>
                </c:pt>
                <c:pt idx="11">
                  <c:v>8626</c:v>
                </c:pt>
                <c:pt idx="12">
                  <c:v>8505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938752"/>
        <c:axId val="24944640"/>
        <c:axId val="0"/>
      </c:bar3DChart>
      <c:catAx>
        <c:axId val="24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944640"/>
        <c:crosses val="autoZero"/>
        <c:auto val="1"/>
        <c:lblAlgn val="ctr"/>
        <c:lblOffset val="100"/>
        <c:noMultiLvlLbl val="0"/>
      </c:catAx>
      <c:valAx>
        <c:axId val="249446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Darab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49387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60" baseline="0"/>
            </a:pPr>
            <a:endParaRPr lang="hu-H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Foglalkoztatottak havi nettó keresete Ft/hó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jövedelmek!$A$2</c:f>
              <c:strCache>
                <c:ptCount val="1"/>
                <c:pt idx="0">
                  <c:v>Közép-Magyarország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jövedelmek!$B$2:$N$2</c:f>
              <c:numCache>
                <c:formatCode>General</c:formatCode>
                <c:ptCount val="13"/>
                <c:pt idx="0">
                  <c:v>68353</c:v>
                </c:pt>
                <c:pt idx="1">
                  <c:v>78801</c:v>
                </c:pt>
                <c:pt idx="2">
                  <c:v>95251</c:v>
                </c:pt>
                <c:pt idx="3">
                  <c:v>107997</c:v>
                </c:pt>
                <c:pt idx="4">
                  <c:v>110156</c:v>
                </c:pt>
                <c:pt idx="5">
                  <c:v>122103</c:v>
                </c:pt>
                <c:pt idx="6">
                  <c:v>124443</c:v>
                </c:pt>
                <c:pt idx="7">
                  <c:v>126978</c:v>
                </c:pt>
                <c:pt idx="8">
                  <c:v>137725</c:v>
                </c:pt>
                <c:pt idx="9">
                  <c:v>137320</c:v>
                </c:pt>
                <c:pt idx="10">
                  <c:v>155915</c:v>
                </c:pt>
                <c:pt idx="11">
                  <c:v>165850</c:v>
                </c:pt>
                <c:pt idx="12">
                  <c:v>168389</c:v>
                </c:pt>
              </c:numCache>
            </c:numRef>
          </c:val>
        </c:ser>
        <c:ser>
          <c:idx val="1"/>
          <c:order val="1"/>
          <c:tx>
            <c:strRef>
              <c:f>jövedelmek!$A$3</c:f>
              <c:strCache>
                <c:ptCount val="1"/>
                <c:pt idx="0">
                  <c:v>Közép-Dunántúl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jövedelmek!$B$3:$N$3</c:f>
              <c:numCache>
                <c:formatCode>General</c:formatCode>
                <c:ptCount val="13"/>
                <c:pt idx="0">
                  <c:v>53586</c:v>
                </c:pt>
                <c:pt idx="1">
                  <c:v>61305</c:v>
                </c:pt>
                <c:pt idx="2">
                  <c:v>72696</c:v>
                </c:pt>
                <c:pt idx="3">
                  <c:v>83685</c:v>
                </c:pt>
                <c:pt idx="4">
                  <c:v>88120</c:v>
                </c:pt>
                <c:pt idx="5">
                  <c:v>97407</c:v>
                </c:pt>
                <c:pt idx="6">
                  <c:v>101526</c:v>
                </c:pt>
                <c:pt idx="7">
                  <c:v>102823</c:v>
                </c:pt>
                <c:pt idx="8">
                  <c:v>112498</c:v>
                </c:pt>
                <c:pt idx="9">
                  <c:v>111281</c:v>
                </c:pt>
                <c:pt idx="10">
                  <c:v>126399</c:v>
                </c:pt>
                <c:pt idx="11">
                  <c:v>128939</c:v>
                </c:pt>
                <c:pt idx="12">
                  <c:v>130017</c:v>
                </c:pt>
              </c:numCache>
            </c:numRef>
          </c:val>
        </c:ser>
        <c:ser>
          <c:idx val="2"/>
          <c:order val="2"/>
          <c:tx>
            <c:strRef>
              <c:f>jövedelmek!$A$4</c:f>
              <c:strCache>
                <c:ptCount val="1"/>
                <c:pt idx="0">
                  <c:v>Nyugat-Dunántúl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jövedelmek!$B$4:$N$4</c:f>
              <c:numCache>
                <c:formatCode>General</c:formatCode>
                <c:ptCount val="13"/>
                <c:pt idx="0">
                  <c:v>41840</c:v>
                </c:pt>
                <c:pt idx="1">
                  <c:v>60203</c:v>
                </c:pt>
                <c:pt idx="2">
                  <c:v>71463</c:v>
                </c:pt>
                <c:pt idx="3">
                  <c:v>82440</c:v>
                </c:pt>
                <c:pt idx="4">
                  <c:v>86874</c:v>
                </c:pt>
                <c:pt idx="5">
                  <c:v>96081</c:v>
                </c:pt>
                <c:pt idx="6">
                  <c:v>99135</c:v>
                </c:pt>
                <c:pt idx="7">
                  <c:v>101527</c:v>
                </c:pt>
                <c:pt idx="8">
                  <c:v>111301</c:v>
                </c:pt>
                <c:pt idx="9">
                  <c:v>109358</c:v>
                </c:pt>
                <c:pt idx="10">
                  <c:v>123107</c:v>
                </c:pt>
                <c:pt idx="11">
                  <c:v>126139</c:v>
                </c:pt>
                <c:pt idx="12">
                  <c:v>127327</c:v>
                </c:pt>
              </c:numCache>
            </c:numRef>
          </c:val>
        </c:ser>
        <c:ser>
          <c:idx val="3"/>
          <c:order val="3"/>
          <c:tx>
            <c:strRef>
              <c:f>jövedelmek!$A$5</c:f>
              <c:strCache>
                <c:ptCount val="1"/>
                <c:pt idx="0">
                  <c:v>Dél-Dunántúl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jövedelmek!$B$5:$N$5</c:f>
              <c:numCache>
                <c:formatCode>General</c:formatCode>
                <c:ptCount val="13"/>
                <c:pt idx="0">
                  <c:v>47585</c:v>
                </c:pt>
                <c:pt idx="1">
                  <c:v>55603</c:v>
                </c:pt>
                <c:pt idx="2">
                  <c:v>66870</c:v>
                </c:pt>
                <c:pt idx="3">
                  <c:v>79018</c:v>
                </c:pt>
                <c:pt idx="4">
                  <c:v>82744</c:v>
                </c:pt>
                <c:pt idx="5">
                  <c:v>93007</c:v>
                </c:pt>
                <c:pt idx="6">
                  <c:v>93982</c:v>
                </c:pt>
                <c:pt idx="7">
                  <c:v>97623</c:v>
                </c:pt>
                <c:pt idx="8">
                  <c:v>106689</c:v>
                </c:pt>
                <c:pt idx="9">
                  <c:v>104166</c:v>
                </c:pt>
                <c:pt idx="10">
                  <c:v>115732</c:v>
                </c:pt>
                <c:pt idx="11">
                  <c:v>119754</c:v>
                </c:pt>
                <c:pt idx="12">
                  <c:v>118158</c:v>
                </c:pt>
              </c:numCache>
            </c:numRef>
          </c:val>
        </c:ser>
        <c:ser>
          <c:idx val="4"/>
          <c:order val="4"/>
          <c:tx>
            <c:strRef>
              <c:f>jövedelmek!$A$6</c:f>
              <c:strCache>
                <c:ptCount val="1"/>
                <c:pt idx="0">
                  <c:v>Észak-Magyarország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jövedelmek!$B$6:$N$6</c:f>
              <c:numCache>
                <c:formatCode>General</c:formatCode>
                <c:ptCount val="13"/>
                <c:pt idx="0">
                  <c:v>48051</c:v>
                </c:pt>
                <c:pt idx="1">
                  <c:v>56059</c:v>
                </c:pt>
                <c:pt idx="2">
                  <c:v>67692</c:v>
                </c:pt>
                <c:pt idx="3">
                  <c:v>79506</c:v>
                </c:pt>
                <c:pt idx="4">
                  <c:v>82940</c:v>
                </c:pt>
                <c:pt idx="5">
                  <c:v>93088</c:v>
                </c:pt>
                <c:pt idx="6">
                  <c:v>96339</c:v>
                </c:pt>
                <c:pt idx="7">
                  <c:v>97708</c:v>
                </c:pt>
                <c:pt idx="8">
                  <c:v>106919</c:v>
                </c:pt>
                <c:pt idx="9">
                  <c:v>104289</c:v>
                </c:pt>
                <c:pt idx="10">
                  <c:v>116666</c:v>
                </c:pt>
                <c:pt idx="11">
                  <c:v>120043</c:v>
                </c:pt>
                <c:pt idx="12">
                  <c:v>116804</c:v>
                </c:pt>
              </c:numCache>
            </c:numRef>
          </c:val>
        </c:ser>
        <c:ser>
          <c:idx val="5"/>
          <c:order val="5"/>
          <c:tx>
            <c:strRef>
              <c:f>jövedelmek!$A$7</c:f>
              <c:strCache>
                <c:ptCount val="1"/>
                <c:pt idx="0">
                  <c:v>B-A-Z megye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jövedelmek!$B$7:$N$7</c:f>
              <c:numCache>
                <c:formatCode>General</c:formatCode>
                <c:ptCount val="13"/>
                <c:pt idx="0">
                  <c:v>48265</c:v>
                </c:pt>
                <c:pt idx="1">
                  <c:v>56096</c:v>
                </c:pt>
                <c:pt idx="2">
                  <c:v>67748</c:v>
                </c:pt>
                <c:pt idx="3">
                  <c:v>79590</c:v>
                </c:pt>
                <c:pt idx="4">
                  <c:v>82621</c:v>
                </c:pt>
                <c:pt idx="5">
                  <c:v>93105</c:v>
                </c:pt>
                <c:pt idx="6">
                  <c:v>96349</c:v>
                </c:pt>
                <c:pt idx="7">
                  <c:v>97840</c:v>
                </c:pt>
                <c:pt idx="8">
                  <c:v>107367</c:v>
                </c:pt>
                <c:pt idx="9">
                  <c:v>103481</c:v>
                </c:pt>
                <c:pt idx="10">
                  <c:v>116177</c:v>
                </c:pt>
                <c:pt idx="11">
                  <c:v>117947</c:v>
                </c:pt>
                <c:pt idx="12">
                  <c:v>113657</c:v>
                </c:pt>
              </c:numCache>
            </c:numRef>
          </c:val>
        </c:ser>
        <c:ser>
          <c:idx val="6"/>
          <c:order val="6"/>
          <c:tx>
            <c:strRef>
              <c:f>jövedelmek!$A$8</c:f>
              <c:strCache>
                <c:ptCount val="1"/>
                <c:pt idx="0">
                  <c:v>Észak-Alföld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jövedelmek!$B$8:$N$8</c:f>
              <c:numCache>
                <c:formatCode>General</c:formatCode>
                <c:ptCount val="13"/>
                <c:pt idx="0">
                  <c:v>46348</c:v>
                </c:pt>
                <c:pt idx="1">
                  <c:v>54162</c:v>
                </c:pt>
                <c:pt idx="2">
                  <c:v>65401</c:v>
                </c:pt>
                <c:pt idx="3">
                  <c:v>77081</c:v>
                </c:pt>
                <c:pt idx="4">
                  <c:v>80072</c:v>
                </c:pt>
                <c:pt idx="5">
                  <c:v>90040</c:v>
                </c:pt>
                <c:pt idx="6">
                  <c:v>92020</c:v>
                </c:pt>
                <c:pt idx="7">
                  <c:v>93738</c:v>
                </c:pt>
                <c:pt idx="8">
                  <c:v>103336</c:v>
                </c:pt>
                <c:pt idx="9">
                  <c:v>100077</c:v>
                </c:pt>
                <c:pt idx="10">
                  <c:v>111789</c:v>
                </c:pt>
                <c:pt idx="11">
                  <c:v>114429</c:v>
                </c:pt>
                <c:pt idx="12">
                  <c:v>114725</c:v>
                </c:pt>
              </c:numCache>
            </c:numRef>
          </c:val>
        </c:ser>
        <c:ser>
          <c:idx val="7"/>
          <c:order val="7"/>
          <c:tx>
            <c:strRef>
              <c:f>jövedelmek!$A$9</c:f>
              <c:strCache>
                <c:ptCount val="1"/>
                <c:pt idx="0">
                  <c:v>Dél-Alföld</c:v>
                </c:pt>
              </c:strCache>
            </c:strRef>
          </c:tx>
          <c:invertIfNegative val="0"/>
          <c:cat>
            <c:strRef>
              <c:f>jövedelmek!$B$1:$N$1</c:f>
              <c:strCache>
                <c:ptCount val="1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2012.1.né.</c:v>
                </c:pt>
              </c:strCache>
            </c:strRef>
          </c:cat>
          <c:val>
            <c:numRef>
              <c:f>jövedelmek!$B$9:$N$9</c:f>
              <c:numCache>
                <c:formatCode>General</c:formatCode>
                <c:ptCount val="13"/>
                <c:pt idx="0">
                  <c:v>46469</c:v>
                </c:pt>
                <c:pt idx="1">
                  <c:v>54404</c:v>
                </c:pt>
                <c:pt idx="2">
                  <c:v>65984</c:v>
                </c:pt>
                <c:pt idx="3">
                  <c:v>77741</c:v>
                </c:pt>
                <c:pt idx="4">
                  <c:v>81143</c:v>
                </c:pt>
                <c:pt idx="5">
                  <c:v>90349</c:v>
                </c:pt>
                <c:pt idx="6">
                  <c:v>92635</c:v>
                </c:pt>
                <c:pt idx="7">
                  <c:v>94263</c:v>
                </c:pt>
                <c:pt idx="8">
                  <c:v>104088</c:v>
                </c:pt>
                <c:pt idx="9">
                  <c:v>100803</c:v>
                </c:pt>
                <c:pt idx="10">
                  <c:v>113792</c:v>
                </c:pt>
                <c:pt idx="11">
                  <c:v>114149</c:v>
                </c:pt>
                <c:pt idx="12">
                  <c:v>112758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402880"/>
        <c:axId val="81425536"/>
      </c:barChart>
      <c:catAx>
        <c:axId val="8140288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évek</a:t>
                </a:r>
              </a:p>
            </c:rich>
          </c:tx>
          <c:overlay val="0"/>
        </c:title>
        <c:majorTickMark val="none"/>
        <c:minorTickMark val="none"/>
        <c:tickLblPos val="nextTo"/>
        <c:crossAx val="81425536"/>
        <c:crosses val="autoZero"/>
        <c:auto val="1"/>
        <c:lblAlgn val="ctr"/>
        <c:lblOffset val="100"/>
        <c:noMultiLvlLbl val="0"/>
      </c:catAx>
      <c:valAx>
        <c:axId val="8142553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Havi nettó kereset Ft/hó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1402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hu-HU" sz="1800" b="1" i="0" baseline="0"/>
              <a:t>1 lakosra jutó személyi jövedelem, </a:t>
            </a:r>
          </a:p>
          <a:p>
            <a:pPr algn="ctr">
              <a:defRPr/>
            </a:pPr>
            <a:r>
              <a:rPr lang="hu-HU" sz="1800" b="1" i="0" baseline="0"/>
              <a:t>2011 év (EFT/év/fő)</a:t>
            </a:r>
            <a:endParaRPr lang="hu-HU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jövedelem</c:v>
                </c:pt>
              </c:strCache>
            </c:strRef>
          </c:tx>
          <c:invertIfNegative val="0"/>
          <c:cat>
            <c:strRef>
              <c:f>Munka1!$A$2:$A$16</c:f>
              <c:strCache>
                <c:ptCount val="15"/>
                <c:pt idx="0">
                  <c:v>Tiszújváros</c:v>
                </c:pt>
                <c:pt idx="1">
                  <c:v>Miskolc</c:v>
                </c:pt>
                <c:pt idx="2">
                  <c:v>Kazincbarcika</c:v>
                </c:pt>
                <c:pt idx="3">
                  <c:v>Mezőkövesd</c:v>
                </c:pt>
                <c:pt idx="4">
                  <c:v>Sárospatak</c:v>
                </c:pt>
                <c:pt idx="5">
                  <c:v>Sátoraljaújhely</c:v>
                </c:pt>
                <c:pt idx="6">
                  <c:v>Mezőcsát</c:v>
                </c:pt>
                <c:pt idx="7">
                  <c:v>Szerencs</c:v>
                </c:pt>
                <c:pt idx="8">
                  <c:v>Tokaj</c:v>
                </c:pt>
                <c:pt idx="9">
                  <c:v>Edelény</c:v>
                </c:pt>
                <c:pt idx="10">
                  <c:v>Szikszó</c:v>
                </c:pt>
                <c:pt idx="11">
                  <c:v>Ózd</c:v>
                </c:pt>
                <c:pt idx="12">
                  <c:v>Abaúj-hegyköz</c:v>
                </c:pt>
                <c:pt idx="13">
                  <c:v>Encs</c:v>
                </c:pt>
                <c:pt idx="14">
                  <c:v>Bodrogköz</c:v>
                </c:pt>
              </c:strCache>
            </c:strRef>
          </c:cat>
          <c:val>
            <c:numRef>
              <c:f>Munka1!$B$2:$B$16</c:f>
              <c:numCache>
                <c:formatCode>General</c:formatCode>
                <c:ptCount val="15"/>
                <c:pt idx="0">
                  <c:v>986</c:v>
                </c:pt>
                <c:pt idx="1">
                  <c:v>780</c:v>
                </c:pt>
                <c:pt idx="2">
                  <c:v>744</c:v>
                </c:pt>
                <c:pt idx="3">
                  <c:v>697</c:v>
                </c:pt>
                <c:pt idx="4">
                  <c:v>664</c:v>
                </c:pt>
                <c:pt idx="5">
                  <c:v>580</c:v>
                </c:pt>
                <c:pt idx="6">
                  <c:v>565</c:v>
                </c:pt>
                <c:pt idx="7">
                  <c:v>551</c:v>
                </c:pt>
                <c:pt idx="8">
                  <c:v>549</c:v>
                </c:pt>
                <c:pt idx="9">
                  <c:v>501</c:v>
                </c:pt>
                <c:pt idx="10">
                  <c:v>498</c:v>
                </c:pt>
                <c:pt idx="11">
                  <c:v>480</c:v>
                </c:pt>
                <c:pt idx="12">
                  <c:v>454</c:v>
                </c:pt>
                <c:pt idx="13">
                  <c:v>428</c:v>
                </c:pt>
                <c:pt idx="14">
                  <c:v>404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gapDepth val="95"/>
        <c:shape val="cone"/>
        <c:axId val="80824192"/>
        <c:axId val="80825728"/>
        <c:axId val="0"/>
      </c:bar3DChart>
      <c:catAx>
        <c:axId val="80824192"/>
        <c:scaling>
          <c:orientation val="minMax"/>
        </c:scaling>
        <c:delete val="0"/>
        <c:axPos val="b"/>
        <c:majorTickMark val="none"/>
        <c:minorTickMark val="none"/>
        <c:tickLblPos val="nextTo"/>
        <c:crossAx val="80825728"/>
        <c:crosses val="autoZero"/>
        <c:auto val="1"/>
        <c:lblAlgn val="ctr"/>
        <c:lblOffset val="100"/>
        <c:noMultiLvlLbl val="0"/>
      </c:catAx>
      <c:valAx>
        <c:axId val="808257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808241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930" baseline="0"/>
            </a:pPr>
            <a:endParaRPr lang="hu-H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Közép-Magyarország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Munka1!$B$2:$B$13</c:f>
              <c:numCache>
                <c:formatCode>General</c:formatCode>
                <c:ptCount val="12"/>
                <c:pt idx="0">
                  <c:v>2155907</c:v>
                </c:pt>
                <c:pt idx="1">
                  <c:v>2224711</c:v>
                </c:pt>
                <c:pt idx="2">
                  <c:v>2188639</c:v>
                </c:pt>
                <c:pt idx="3">
                  <c:v>2221021</c:v>
                </c:pt>
                <c:pt idx="4">
                  <c:v>2608323</c:v>
                </c:pt>
                <c:pt idx="5">
                  <c:v>2832517</c:v>
                </c:pt>
                <c:pt idx="6">
                  <c:v>2741208</c:v>
                </c:pt>
                <c:pt idx="7">
                  <c:v>2845091</c:v>
                </c:pt>
                <c:pt idx="8">
                  <c:v>2895038</c:v>
                </c:pt>
                <c:pt idx="9">
                  <c:v>2676492</c:v>
                </c:pt>
                <c:pt idx="10">
                  <c:v>2908381</c:v>
                </c:pt>
                <c:pt idx="11">
                  <c:v>3203399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Közép- Dunántúl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Munka1!$C$2:$C$13</c:f>
              <c:numCache>
                <c:formatCode>General</c:formatCode>
                <c:ptCount val="12"/>
                <c:pt idx="0">
                  <c:v>657360</c:v>
                </c:pt>
                <c:pt idx="1">
                  <c:v>653240</c:v>
                </c:pt>
                <c:pt idx="2">
                  <c:v>654134</c:v>
                </c:pt>
                <c:pt idx="3">
                  <c:v>669568</c:v>
                </c:pt>
                <c:pt idx="4">
                  <c:v>652796</c:v>
                </c:pt>
                <c:pt idx="5">
                  <c:v>712446</c:v>
                </c:pt>
                <c:pt idx="6">
                  <c:v>736797</c:v>
                </c:pt>
                <c:pt idx="7">
                  <c:v>778210</c:v>
                </c:pt>
                <c:pt idx="8">
                  <c:v>774294</c:v>
                </c:pt>
                <c:pt idx="9">
                  <c:v>738883</c:v>
                </c:pt>
                <c:pt idx="10">
                  <c:v>761156</c:v>
                </c:pt>
                <c:pt idx="11">
                  <c:v>806396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Nyugat-Dunántúl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Munka1!$D$2:$D$13</c:f>
              <c:numCache>
                <c:formatCode>General</c:formatCode>
                <c:ptCount val="12"/>
                <c:pt idx="0">
                  <c:v>960858</c:v>
                </c:pt>
                <c:pt idx="1">
                  <c:v>930695</c:v>
                </c:pt>
                <c:pt idx="2">
                  <c:v>973231</c:v>
                </c:pt>
                <c:pt idx="3">
                  <c:v>1012746</c:v>
                </c:pt>
                <c:pt idx="4">
                  <c:v>1040885</c:v>
                </c:pt>
                <c:pt idx="5">
                  <c:v>1116025</c:v>
                </c:pt>
                <c:pt idx="6">
                  <c:v>1198451</c:v>
                </c:pt>
                <c:pt idx="7">
                  <c:v>1224471</c:v>
                </c:pt>
                <c:pt idx="8">
                  <c:v>1323931</c:v>
                </c:pt>
                <c:pt idx="9">
                  <c:v>1286917</c:v>
                </c:pt>
                <c:pt idx="10">
                  <c:v>1378778</c:v>
                </c:pt>
                <c:pt idx="11">
                  <c:v>1458212</c:v>
                </c:pt>
              </c:numCache>
            </c:numRef>
          </c:val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Dél-Dunántúl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Munka1!$E$2:$E$13</c:f>
              <c:numCache>
                <c:formatCode>General</c:formatCode>
                <c:ptCount val="12"/>
                <c:pt idx="0">
                  <c:v>722622</c:v>
                </c:pt>
                <c:pt idx="1">
                  <c:v>766208</c:v>
                </c:pt>
                <c:pt idx="2">
                  <c:v>792522</c:v>
                </c:pt>
                <c:pt idx="3">
                  <c:v>755270</c:v>
                </c:pt>
                <c:pt idx="4">
                  <c:v>715250</c:v>
                </c:pt>
                <c:pt idx="5">
                  <c:v>742811</c:v>
                </c:pt>
                <c:pt idx="6">
                  <c:v>764291</c:v>
                </c:pt>
                <c:pt idx="7">
                  <c:v>806869</c:v>
                </c:pt>
                <c:pt idx="8">
                  <c:v>802833</c:v>
                </c:pt>
                <c:pt idx="9">
                  <c:v>739273</c:v>
                </c:pt>
                <c:pt idx="10">
                  <c:v>749858</c:v>
                </c:pt>
                <c:pt idx="11">
                  <c:v>749114</c:v>
                </c:pt>
              </c:numCache>
            </c:numRef>
          </c:val>
        </c:ser>
        <c:ser>
          <c:idx val="4"/>
          <c:order val="4"/>
          <c:tx>
            <c:strRef>
              <c:f>Munka1!$F$1</c:f>
              <c:strCache>
                <c:ptCount val="1"/>
                <c:pt idx="0">
                  <c:v>Észak-Magyarország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Munka1!$F$2:$F$13</c:f>
              <c:numCache>
                <c:formatCode>General</c:formatCode>
                <c:ptCount val="12"/>
                <c:pt idx="0">
                  <c:v>606272</c:v>
                </c:pt>
                <c:pt idx="1">
                  <c:v>601415</c:v>
                </c:pt>
                <c:pt idx="2">
                  <c:v>623849</c:v>
                </c:pt>
                <c:pt idx="3">
                  <c:v>653236</c:v>
                </c:pt>
                <c:pt idx="4">
                  <c:v>635014</c:v>
                </c:pt>
                <c:pt idx="5">
                  <c:v>648704</c:v>
                </c:pt>
                <c:pt idx="6">
                  <c:v>669370</c:v>
                </c:pt>
                <c:pt idx="7">
                  <c:v>676176</c:v>
                </c:pt>
                <c:pt idx="8">
                  <c:v>683612</c:v>
                </c:pt>
                <c:pt idx="9">
                  <c:v>635315</c:v>
                </c:pt>
                <c:pt idx="10">
                  <c:v>627239</c:v>
                </c:pt>
                <c:pt idx="11">
                  <c:v>686152</c:v>
                </c:pt>
              </c:numCache>
            </c:numRef>
          </c:val>
        </c:ser>
        <c:ser>
          <c:idx val="5"/>
          <c:order val="5"/>
          <c:tx>
            <c:strRef>
              <c:f>Munka1!$G$1</c:f>
              <c:strCache>
                <c:ptCount val="1"/>
                <c:pt idx="0">
                  <c:v>Észak-Alföld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Munka1!$G$2:$G$13</c:f>
              <c:numCache>
                <c:formatCode>General</c:formatCode>
                <c:ptCount val="12"/>
                <c:pt idx="0">
                  <c:v>448767</c:v>
                </c:pt>
                <c:pt idx="1">
                  <c:v>500582</c:v>
                </c:pt>
                <c:pt idx="2">
                  <c:v>539104</c:v>
                </c:pt>
                <c:pt idx="3">
                  <c:v>562404</c:v>
                </c:pt>
                <c:pt idx="4">
                  <c:v>534627</c:v>
                </c:pt>
                <c:pt idx="5">
                  <c:v>555715</c:v>
                </c:pt>
                <c:pt idx="6">
                  <c:v>626508</c:v>
                </c:pt>
                <c:pt idx="7">
                  <c:v>669921</c:v>
                </c:pt>
                <c:pt idx="8">
                  <c:v>689912</c:v>
                </c:pt>
                <c:pt idx="9">
                  <c:v>630957</c:v>
                </c:pt>
                <c:pt idx="10">
                  <c:v>617875</c:v>
                </c:pt>
                <c:pt idx="11">
                  <c:v>631665</c:v>
                </c:pt>
              </c:numCache>
            </c:numRef>
          </c:val>
        </c:ser>
        <c:ser>
          <c:idx val="6"/>
          <c:order val="6"/>
          <c:tx>
            <c:strRef>
              <c:f>Munka1!$H$1</c:f>
              <c:strCache>
                <c:ptCount val="1"/>
                <c:pt idx="0">
                  <c:v>Borsod-Abaúj-Zemplén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Munka1!$H$2:$H$13</c:f>
              <c:numCache>
                <c:formatCode>#,##0</c:formatCode>
                <c:ptCount val="12"/>
                <c:pt idx="0">
                  <c:v>266234</c:v>
                </c:pt>
                <c:pt idx="1">
                  <c:v>272109</c:v>
                </c:pt>
                <c:pt idx="2">
                  <c:v>289413</c:v>
                </c:pt>
                <c:pt idx="3">
                  <c:v>322190</c:v>
                </c:pt>
                <c:pt idx="4">
                  <c:v>302841</c:v>
                </c:pt>
                <c:pt idx="5">
                  <c:v>309928</c:v>
                </c:pt>
                <c:pt idx="6">
                  <c:v>316919</c:v>
                </c:pt>
                <c:pt idx="7">
                  <c:v>320816</c:v>
                </c:pt>
                <c:pt idx="8">
                  <c:v>315013</c:v>
                </c:pt>
                <c:pt idx="9">
                  <c:v>303237</c:v>
                </c:pt>
                <c:pt idx="10">
                  <c:v>290854</c:v>
                </c:pt>
                <c:pt idx="11">
                  <c:v>296253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049472"/>
        <c:axId val="81051008"/>
        <c:axId val="0"/>
      </c:bar3DChart>
      <c:catAx>
        <c:axId val="8104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051008"/>
        <c:crosses val="autoZero"/>
        <c:auto val="1"/>
        <c:lblAlgn val="ctr"/>
        <c:lblOffset val="100"/>
        <c:noMultiLvlLbl val="0"/>
      </c:catAx>
      <c:valAx>
        <c:axId val="810510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Vendégek száma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1049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u-HU" sz="1400" b="1" i="0" u="none" strike="noStrike" baseline="0"/>
              <a:t>Borsod megye </a:t>
            </a:r>
            <a:r>
              <a:rPr lang="en-US" sz="1400" b="1" i="0" u="none" strike="noStrike" baseline="0"/>
              <a:t>vendégforgalma</a:t>
            </a:r>
            <a:r>
              <a:rPr lang="hu-HU" sz="1400" b="1" i="0" u="none" strike="noStrike" baseline="0"/>
              <a:t> 2000-2011 között</a:t>
            </a:r>
            <a:endParaRPr lang="en-US" sz="1400" baseline="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vendégszám</c:v>
                </c:pt>
              </c:strCache>
            </c:strRef>
          </c:tx>
          <c:invertIfNegative val="0"/>
          <c:cat>
            <c:numRef>
              <c:f>Munka1!$A$2:$A$13</c:f>
              <c:numCache>
                <c:formatCode>General</c:formatCode>
                <c:ptCount val="1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</c:numCache>
            </c:numRef>
          </c:cat>
          <c:val>
            <c:numRef>
              <c:f>Munka1!$B$2:$B$13</c:f>
              <c:numCache>
                <c:formatCode>#,##0</c:formatCode>
                <c:ptCount val="12"/>
                <c:pt idx="0">
                  <c:v>266234</c:v>
                </c:pt>
                <c:pt idx="1">
                  <c:v>272109</c:v>
                </c:pt>
                <c:pt idx="2">
                  <c:v>289413</c:v>
                </c:pt>
                <c:pt idx="3">
                  <c:v>322190</c:v>
                </c:pt>
                <c:pt idx="4">
                  <c:v>302841</c:v>
                </c:pt>
                <c:pt idx="5">
                  <c:v>309928</c:v>
                </c:pt>
                <c:pt idx="6">
                  <c:v>316919</c:v>
                </c:pt>
                <c:pt idx="7">
                  <c:v>320816</c:v>
                </c:pt>
                <c:pt idx="8">
                  <c:v>315013</c:v>
                </c:pt>
                <c:pt idx="9">
                  <c:v>303237</c:v>
                </c:pt>
                <c:pt idx="10">
                  <c:v>290854</c:v>
                </c:pt>
                <c:pt idx="11">
                  <c:v>296253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345920"/>
        <c:axId val="81060992"/>
      </c:barChart>
      <c:catAx>
        <c:axId val="8134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1060992"/>
        <c:crosses val="autoZero"/>
        <c:auto val="1"/>
        <c:lblAlgn val="ctr"/>
        <c:lblOffset val="100"/>
        <c:noMultiLvlLbl val="0"/>
      </c:catAx>
      <c:valAx>
        <c:axId val="8106099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hu-HU"/>
                  <a:t>Vendégek száma</a:t>
                </a:r>
              </a:p>
            </c:rich>
          </c:tx>
          <c:overlay val="0"/>
        </c:title>
        <c:numFmt formatCode="#,##0" sourceLinked="1"/>
        <c:majorTickMark val="none"/>
        <c:minorTickMark val="none"/>
        <c:tickLblPos val="nextTo"/>
        <c:crossAx val="813459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10" baseline="0"/>
            </a:pPr>
            <a:endParaRPr lang="hu-H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A vendégéjszakák megoszlása 2012</c:v>
                </c:pt>
              </c:strCache>
            </c:strRef>
          </c:tx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Munka1!$A$2:$A$8</c:f>
              <c:strCache>
                <c:ptCount val="7"/>
                <c:pt idx="0">
                  <c:v>Közép-Magyarország</c:v>
                </c:pt>
                <c:pt idx="1">
                  <c:v>Közép- Dunántúl</c:v>
                </c:pt>
                <c:pt idx="2">
                  <c:v>Nyugat-Dunántúl</c:v>
                </c:pt>
                <c:pt idx="3">
                  <c:v>Dél-Dunántúl</c:v>
                </c:pt>
                <c:pt idx="4">
                  <c:v>Észak-Magyarország</c:v>
                </c:pt>
                <c:pt idx="5">
                  <c:v>Észak-Alföld</c:v>
                </c:pt>
                <c:pt idx="6">
                  <c:v>Dél-Alföld</c:v>
                </c:pt>
              </c:strCache>
            </c:strRef>
          </c:cat>
          <c:val>
            <c:numRef>
              <c:f>Munka1!$B$2:$B$8</c:f>
              <c:numCache>
                <c:formatCode>#,##0</c:formatCode>
                <c:ptCount val="7"/>
                <c:pt idx="0">
                  <c:v>8081811</c:v>
                </c:pt>
                <c:pt idx="1">
                  <c:v>2254727</c:v>
                </c:pt>
                <c:pt idx="2">
                  <c:v>4497298</c:v>
                </c:pt>
                <c:pt idx="3">
                  <c:v>2079647</c:v>
                </c:pt>
                <c:pt idx="4">
                  <c:v>1675713</c:v>
                </c:pt>
                <c:pt idx="5">
                  <c:v>1772802</c:v>
                </c:pt>
                <c:pt idx="6">
                  <c:v>1246728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Külföldi vendégéjszakák megoszlása 2012</c:v>
                </c:pt>
              </c:strCache>
            </c:strRef>
          </c:tx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Munka1!$A$2:$A$8</c:f>
              <c:strCache>
                <c:ptCount val="7"/>
                <c:pt idx="0">
                  <c:v>Közép-Magyarország</c:v>
                </c:pt>
                <c:pt idx="1">
                  <c:v>Közép- Dunántúl</c:v>
                </c:pt>
                <c:pt idx="2">
                  <c:v>Nyugat-Dunántúl</c:v>
                </c:pt>
                <c:pt idx="3">
                  <c:v>Dél-Dunántúl</c:v>
                </c:pt>
                <c:pt idx="4">
                  <c:v>Észak-Magyarország</c:v>
                </c:pt>
                <c:pt idx="5">
                  <c:v>Észak-Alföld</c:v>
                </c:pt>
                <c:pt idx="6">
                  <c:v>Dél-Alföld</c:v>
                </c:pt>
              </c:strCache>
            </c:strRef>
          </c:cat>
          <c:val>
            <c:numRef>
              <c:f>Munka1!$B$2:$B$8</c:f>
              <c:numCache>
                <c:formatCode>#,##0</c:formatCode>
                <c:ptCount val="7"/>
                <c:pt idx="0">
                  <c:v>6650062</c:v>
                </c:pt>
                <c:pt idx="1">
                  <c:v>792704</c:v>
                </c:pt>
                <c:pt idx="2">
                  <c:v>2200134</c:v>
                </c:pt>
                <c:pt idx="3">
                  <c:v>494919</c:v>
                </c:pt>
                <c:pt idx="4">
                  <c:v>281043</c:v>
                </c:pt>
                <c:pt idx="5">
                  <c:v>549451</c:v>
                </c:pt>
                <c:pt idx="6">
                  <c:v>331491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07218-33FD-4BAA-8BCB-0A7A998B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1757</Words>
  <Characters>12124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Baán Anna</dc:creator>
  <cp:lastModifiedBy>Dudásné</cp:lastModifiedBy>
  <cp:revision>2</cp:revision>
  <cp:lastPrinted>2013-06-18T10:05:00Z</cp:lastPrinted>
  <dcterms:created xsi:type="dcterms:W3CDTF">2013-06-19T12:38:00Z</dcterms:created>
  <dcterms:modified xsi:type="dcterms:W3CDTF">2013-06-19T12:38:00Z</dcterms:modified>
</cp:coreProperties>
</file>