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3D3" w:rsidRPr="007C7916" w:rsidRDefault="000223D3" w:rsidP="002F482E">
      <w:pPr>
        <w:spacing w:before="120" w:after="120"/>
        <w:jc w:val="center"/>
        <w:rPr>
          <w:rFonts w:ascii="Arial" w:hAnsi="Arial" w:cs="Arial"/>
          <w:b/>
        </w:rPr>
      </w:pPr>
      <w:r w:rsidRPr="007C7916">
        <w:rPr>
          <w:rFonts w:ascii="Arial" w:hAnsi="Arial" w:cs="Arial"/>
          <w:b/>
        </w:rPr>
        <w:t>Tájékoztató</w:t>
      </w:r>
    </w:p>
    <w:p w:rsidR="00CE72F2" w:rsidRPr="007C7916" w:rsidRDefault="00CE72F2" w:rsidP="002F482E">
      <w:pPr>
        <w:tabs>
          <w:tab w:val="left" w:pos="1440"/>
          <w:tab w:val="left" w:pos="3060"/>
        </w:tabs>
        <w:autoSpaceDE w:val="0"/>
        <w:autoSpaceDN w:val="0"/>
        <w:adjustRightInd w:val="0"/>
        <w:spacing w:before="120" w:after="120" w:line="240" w:lineRule="auto"/>
        <w:ind w:left="126"/>
        <w:jc w:val="center"/>
        <w:rPr>
          <w:rFonts w:ascii="Arial" w:eastAsia="Times New Roman" w:hAnsi="Arial" w:cs="Arial"/>
          <w:b/>
          <w:bCs/>
          <w:kern w:val="32"/>
          <w:lang w:eastAsia="hu-HU"/>
        </w:rPr>
      </w:pPr>
      <w:proofErr w:type="gramStart"/>
      <w:r w:rsidRPr="007C7916">
        <w:rPr>
          <w:rFonts w:ascii="Arial" w:eastAsia="Times New Roman" w:hAnsi="Arial" w:cs="Arial"/>
          <w:b/>
          <w:bCs/>
          <w:kern w:val="32"/>
          <w:lang w:eastAsia="hu-HU"/>
        </w:rPr>
        <w:t>az</w:t>
      </w:r>
      <w:proofErr w:type="gramEnd"/>
      <w:r w:rsidRPr="007C7916">
        <w:rPr>
          <w:rFonts w:ascii="Arial" w:eastAsia="Times New Roman" w:hAnsi="Arial" w:cs="Arial"/>
          <w:b/>
          <w:bCs/>
          <w:kern w:val="32"/>
          <w:lang w:eastAsia="hu-HU"/>
        </w:rPr>
        <w:t xml:space="preserve"> Ifjúsági Garancia Rendszerről és a keretében megvalósuló </w:t>
      </w:r>
    </w:p>
    <w:p w:rsidR="00CE72F2" w:rsidRPr="007C7916" w:rsidRDefault="00CE72F2" w:rsidP="002F482E">
      <w:pPr>
        <w:tabs>
          <w:tab w:val="left" w:pos="1440"/>
          <w:tab w:val="left" w:pos="3060"/>
        </w:tabs>
        <w:autoSpaceDE w:val="0"/>
        <w:autoSpaceDN w:val="0"/>
        <w:adjustRightInd w:val="0"/>
        <w:spacing w:before="120" w:after="120" w:line="240" w:lineRule="auto"/>
        <w:ind w:left="126"/>
        <w:jc w:val="center"/>
        <w:rPr>
          <w:rFonts w:ascii="Arial" w:eastAsia="Times New Roman" w:hAnsi="Arial" w:cs="Arial"/>
          <w:b/>
          <w:bCs/>
          <w:kern w:val="32"/>
          <w:lang w:eastAsia="hu-HU"/>
        </w:rPr>
      </w:pPr>
      <w:r w:rsidRPr="007C7916">
        <w:rPr>
          <w:rFonts w:ascii="Arial" w:eastAsia="Times New Roman" w:hAnsi="Arial" w:cs="Arial"/>
          <w:b/>
          <w:bCs/>
          <w:kern w:val="32"/>
          <w:lang w:eastAsia="hu-HU"/>
        </w:rPr>
        <w:t xml:space="preserve">Gazdaságfejlesztési és Innovációs Operatív Program 5.2.1-14 </w:t>
      </w:r>
    </w:p>
    <w:p w:rsidR="00CE72F2" w:rsidRPr="007C7916" w:rsidRDefault="00CE72F2" w:rsidP="002F482E">
      <w:pPr>
        <w:tabs>
          <w:tab w:val="left" w:pos="1440"/>
          <w:tab w:val="left" w:pos="3060"/>
        </w:tabs>
        <w:autoSpaceDE w:val="0"/>
        <w:autoSpaceDN w:val="0"/>
        <w:adjustRightInd w:val="0"/>
        <w:spacing w:before="120" w:after="120" w:line="240" w:lineRule="auto"/>
        <w:ind w:left="126"/>
        <w:jc w:val="center"/>
        <w:rPr>
          <w:rFonts w:ascii="Arial" w:eastAsia="Times New Roman" w:hAnsi="Arial" w:cs="Arial"/>
          <w:b/>
          <w:bCs/>
          <w:kern w:val="32"/>
          <w:lang w:eastAsia="hu-HU"/>
        </w:rPr>
      </w:pPr>
      <w:proofErr w:type="gramStart"/>
      <w:r w:rsidRPr="007C7916">
        <w:rPr>
          <w:rFonts w:ascii="Arial" w:eastAsia="Times New Roman" w:hAnsi="Arial" w:cs="Arial"/>
          <w:b/>
          <w:bCs/>
          <w:kern w:val="32"/>
          <w:lang w:eastAsia="hu-HU"/>
        </w:rPr>
        <w:t>munkaerő-piaci</w:t>
      </w:r>
      <w:proofErr w:type="gramEnd"/>
      <w:r w:rsidRPr="007C7916">
        <w:rPr>
          <w:rFonts w:ascii="Arial" w:eastAsia="Times New Roman" w:hAnsi="Arial" w:cs="Arial"/>
          <w:b/>
          <w:bCs/>
          <w:kern w:val="32"/>
          <w:lang w:eastAsia="hu-HU"/>
        </w:rPr>
        <w:t xml:space="preserve"> programról</w:t>
      </w:r>
    </w:p>
    <w:p w:rsidR="000C0E50" w:rsidRPr="00CD6448" w:rsidRDefault="00402FD8" w:rsidP="00EA6137">
      <w:pPr>
        <w:pStyle w:val="BasicParagraph"/>
        <w:spacing w:before="120" w:after="120" w:line="240" w:lineRule="auto"/>
        <w:jc w:val="both"/>
        <w:rPr>
          <w:rFonts w:ascii="Arial" w:hAnsi="Arial" w:cs="Arial"/>
          <w:b/>
          <w:bCs/>
          <w:iCs/>
          <w:color w:val="auto"/>
          <w:sz w:val="20"/>
          <w:szCs w:val="20"/>
          <w:lang w:val="hu-HU"/>
        </w:rPr>
      </w:pPr>
      <w:r w:rsidRPr="00CD6448">
        <w:rPr>
          <w:rFonts w:ascii="Arial" w:hAnsi="Arial" w:cs="Arial"/>
          <w:sz w:val="20"/>
          <w:szCs w:val="20"/>
        </w:rPr>
        <w:br/>
      </w:r>
      <w:r w:rsidR="000C0E50" w:rsidRPr="00CD6448">
        <w:rPr>
          <w:rFonts w:ascii="Arial" w:hAnsi="Arial" w:cs="Arial"/>
          <w:b/>
          <w:bCs/>
          <w:iCs/>
          <w:color w:val="auto"/>
          <w:sz w:val="20"/>
          <w:szCs w:val="20"/>
          <w:lang w:val="hu-HU"/>
        </w:rPr>
        <w:t>A Kormány az Ifjúság</w:t>
      </w:r>
      <w:r w:rsidR="001B5DDB">
        <w:rPr>
          <w:rFonts w:ascii="Arial" w:hAnsi="Arial" w:cs="Arial"/>
          <w:b/>
          <w:bCs/>
          <w:iCs/>
          <w:color w:val="auto"/>
          <w:sz w:val="20"/>
          <w:szCs w:val="20"/>
          <w:lang w:val="hu-HU"/>
        </w:rPr>
        <w:t>i</w:t>
      </w:r>
      <w:r w:rsidR="000C0E50" w:rsidRPr="00CD6448">
        <w:rPr>
          <w:rFonts w:ascii="Arial" w:hAnsi="Arial" w:cs="Arial"/>
          <w:b/>
          <w:bCs/>
          <w:iCs/>
          <w:color w:val="auto"/>
          <w:sz w:val="20"/>
          <w:szCs w:val="20"/>
          <w:lang w:val="hu-HU"/>
        </w:rPr>
        <w:t xml:space="preserve"> Garancia Rendszert </w:t>
      </w:r>
      <w:r w:rsidR="00D93403" w:rsidRPr="00CD6448">
        <w:rPr>
          <w:rFonts w:ascii="Arial" w:hAnsi="Arial" w:cs="Arial"/>
          <w:b/>
          <w:bCs/>
          <w:iCs/>
          <w:color w:val="auto"/>
          <w:sz w:val="20"/>
          <w:szCs w:val="20"/>
          <w:lang w:val="hu-HU"/>
        </w:rPr>
        <w:t xml:space="preserve">(IGR) </w:t>
      </w:r>
      <w:r w:rsidR="000C0E50" w:rsidRPr="00CD6448">
        <w:rPr>
          <w:rFonts w:ascii="Arial" w:hAnsi="Arial" w:cs="Arial"/>
          <w:b/>
          <w:bCs/>
          <w:iCs/>
          <w:color w:val="auto"/>
          <w:sz w:val="20"/>
          <w:szCs w:val="20"/>
          <w:lang w:val="hu-HU"/>
        </w:rPr>
        <w:t>tekinti a fiatalok foglalkoztatását elősegítő elsődleges eszköznek. A fiatalok munkanélküliségének csökkentése jelenleg az Európai Unió egyik leghangsúlyosabb célkitűzése</w:t>
      </w:r>
      <w:r w:rsidR="00D93403" w:rsidRPr="00CD6448">
        <w:rPr>
          <w:rFonts w:ascii="Arial" w:hAnsi="Arial" w:cs="Arial"/>
          <w:b/>
          <w:bCs/>
          <w:iCs/>
          <w:color w:val="auto"/>
          <w:sz w:val="20"/>
          <w:szCs w:val="20"/>
          <w:lang w:val="hu-HU"/>
        </w:rPr>
        <w:t>. A kormány az Európai Unióval kötött Partnerségi Megállapodásban célul tűzte ki a fiatalok foglalkoztatásának növelését.</w:t>
      </w:r>
    </w:p>
    <w:p w:rsidR="000C0E50" w:rsidRPr="007C7916" w:rsidRDefault="000C0E50" w:rsidP="00EA6137">
      <w:pPr>
        <w:spacing w:before="120" w:after="120" w:line="240" w:lineRule="auto"/>
        <w:jc w:val="both"/>
        <w:rPr>
          <w:rFonts w:ascii="Arial" w:hAnsi="Arial" w:cs="Arial"/>
          <w:sz w:val="20"/>
          <w:szCs w:val="20"/>
        </w:rPr>
      </w:pPr>
      <w:r w:rsidRPr="007C7916">
        <w:rPr>
          <w:rFonts w:ascii="Arial" w:eastAsia="Calibri" w:hAnsi="Arial" w:cs="Arial"/>
          <w:sz w:val="20"/>
          <w:szCs w:val="20"/>
        </w:rPr>
        <w:t>Az I</w:t>
      </w:r>
      <w:r w:rsidR="00B213AC">
        <w:rPr>
          <w:rFonts w:ascii="Arial" w:eastAsia="Calibri" w:hAnsi="Arial" w:cs="Arial"/>
          <w:sz w:val="20"/>
          <w:szCs w:val="20"/>
        </w:rPr>
        <w:t>fjúság</w:t>
      </w:r>
      <w:r w:rsidR="001B5DDB">
        <w:rPr>
          <w:rFonts w:ascii="Arial" w:eastAsia="Calibri" w:hAnsi="Arial" w:cs="Arial"/>
          <w:sz w:val="20"/>
          <w:szCs w:val="20"/>
        </w:rPr>
        <w:t>i</w:t>
      </w:r>
      <w:r w:rsidR="00B213AC">
        <w:rPr>
          <w:rFonts w:ascii="Arial" w:eastAsia="Calibri" w:hAnsi="Arial" w:cs="Arial"/>
          <w:sz w:val="20"/>
          <w:szCs w:val="20"/>
        </w:rPr>
        <w:t xml:space="preserve"> </w:t>
      </w:r>
      <w:r w:rsidRPr="007C7916">
        <w:rPr>
          <w:rFonts w:ascii="Arial" w:eastAsia="Calibri" w:hAnsi="Arial" w:cs="Arial"/>
          <w:sz w:val="20"/>
          <w:szCs w:val="20"/>
        </w:rPr>
        <w:t>G</w:t>
      </w:r>
      <w:r w:rsidR="00B213AC">
        <w:rPr>
          <w:rFonts w:ascii="Arial" w:eastAsia="Calibri" w:hAnsi="Arial" w:cs="Arial"/>
          <w:sz w:val="20"/>
          <w:szCs w:val="20"/>
        </w:rPr>
        <w:t>arancia</w:t>
      </w:r>
      <w:r w:rsidRPr="007C7916">
        <w:rPr>
          <w:rFonts w:ascii="Arial" w:eastAsia="Calibri" w:hAnsi="Arial" w:cs="Arial"/>
          <w:sz w:val="20"/>
          <w:szCs w:val="20"/>
        </w:rPr>
        <w:t xml:space="preserve"> </w:t>
      </w:r>
      <w:r w:rsidR="00D93403" w:rsidRPr="007C7916">
        <w:rPr>
          <w:rFonts w:ascii="Arial" w:eastAsia="Calibri" w:hAnsi="Arial" w:cs="Arial"/>
          <w:sz w:val="20"/>
          <w:szCs w:val="20"/>
        </w:rPr>
        <w:t>R</w:t>
      </w:r>
      <w:r w:rsidRPr="007C7916">
        <w:rPr>
          <w:rFonts w:ascii="Arial" w:eastAsia="Calibri" w:hAnsi="Arial" w:cs="Arial"/>
          <w:sz w:val="20"/>
          <w:szCs w:val="20"/>
        </w:rPr>
        <w:t xml:space="preserve">endszer </w:t>
      </w:r>
      <w:r w:rsidRPr="00B213AC">
        <w:rPr>
          <w:rFonts w:ascii="Arial" w:eastAsia="Calibri" w:hAnsi="Arial" w:cs="Arial"/>
          <w:sz w:val="20"/>
          <w:szCs w:val="20"/>
        </w:rPr>
        <w:t>lényege, hogy azon 15-2</w:t>
      </w:r>
      <w:r w:rsidR="007B5C4F">
        <w:rPr>
          <w:rFonts w:ascii="Arial" w:eastAsia="Calibri" w:hAnsi="Arial" w:cs="Arial"/>
          <w:sz w:val="20"/>
          <w:szCs w:val="20"/>
        </w:rPr>
        <w:t>4</w:t>
      </w:r>
      <w:r w:rsidRPr="00B213AC">
        <w:rPr>
          <w:rFonts w:ascii="Arial" w:eastAsia="Calibri" w:hAnsi="Arial" w:cs="Arial"/>
          <w:sz w:val="20"/>
          <w:szCs w:val="20"/>
        </w:rPr>
        <w:t xml:space="preserve"> év közötti fiatalok számára, akik sem nem tanulnak, sem nem dolgoznak, a </w:t>
      </w:r>
      <w:r w:rsidR="008145EA" w:rsidRPr="00B213AC">
        <w:rPr>
          <w:rFonts w:ascii="Arial" w:eastAsia="Calibri" w:hAnsi="Arial" w:cs="Arial"/>
          <w:sz w:val="20"/>
          <w:szCs w:val="20"/>
        </w:rPr>
        <w:t>foglalkoztatási szervnek</w:t>
      </w:r>
      <w:r w:rsidRPr="00B213AC">
        <w:rPr>
          <w:rFonts w:ascii="Arial" w:eastAsia="Calibri" w:hAnsi="Arial" w:cs="Arial"/>
          <w:sz w:val="20"/>
          <w:szCs w:val="20"/>
        </w:rPr>
        <w:t xml:space="preserve"> </w:t>
      </w:r>
      <w:r w:rsidRPr="007C7916">
        <w:rPr>
          <w:rFonts w:ascii="Arial" w:eastAsia="Calibri" w:hAnsi="Arial" w:cs="Arial"/>
          <w:sz w:val="20"/>
          <w:szCs w:val="20"/>
        </w:rPr>
        <w:t xml:space="preserve">6 hónapon (illetve később 4 hónapon) belül valamilyen konkrét lehetőséget kell felajánlani az elhelyezkedésre, a munkatapasztalat szerzésre, vagy a tanulásra. </w:t>
      </w:r>
      <w:r w:rsidRPr="007C7916">
        <w:rPr>
          <w:rFonts w:ascii="Arial" w:hAnsi="Arial" w:cs="Arial"/>
          <w:sz w:val="20"/>
          <w:szCs w:val="20"/>
        </w:rPr>
        <w:t>A program több lépcsőben valósul meg. Első lépésben a már legalább 6 hónapja folyamatos</w:t>
      </w:r>
      <w:r w:rsidR="00CD6448">
        <w:rPr>
          <w:rFonts w:ascii="Arial" w:hAnsi="Arial" w:cs="Arial"/>
          <w:sz w:val="20"/>
          <w:szCs w:val="20"/>
        </w:rPr>
        <w:t>an</w:t>
      </w:r>
      <w:r w:rsidRPr="007C7916">
        <w:rPr>
          <w:rFonts w:ascii="Arial" w:hAnsi="Arial" w:cs="Arial"/>
          <w:sz w:val="20"/>
          <w:szCs w:val="20"/>
        </w:rPr>
        <w:t xml:space="preserve"> álláskereső fiataloknak kell lehetőséget kínálni, ezt követően lépésről lépésre megoldást találva valamennyi 25 év alatti, tanulmányait befejező vagy félbehagyó, elhelyezkedni nem tudó vagy állását vesztő és segítséget kérő fiatal számára. Az első </w:t>
      </w:r>
      <w:r w:rsidR="00D93403" w:rsidRPr="007C7916">
        <w:rPr>
          <w:rFonts w:ascii="Arial" w:hAnsi="Arial" w:cs="Arial"/>
          <w:sz w:val="20"/>
          <w:szCs w:val="20"/>
        </w:rPr>
        <w:t>szakaszban</w:t>
      </w:r>
      <w:r w:rsidRPr="007C7916">
        <w:rPr>
          <w:rFonts w:ascii="Arial" w:hAnsi="Arial" w:cs="Arial"/>
          <w:sz w:val="20"/>
          <w:szCs w:val="20"/>
        </w:rPr>
        <w:t xml:space="preserve"> a programba lépésre 2016. június 30-ig van lehetőség, de segítő támogatásokat 2017. december 31.-ig lehet nyújtani a projekt költségvetésének terhére.</w:t>
      </w:r>
    </w:p>
    <w:p w:rsidR="004649AA" w:rsidRPr="007C7916" w:rsidRDefault="004649AA" w:rsidP="00EA6137">
      <w:pPr>
        <w:spacing w:before="120" w:after="120" w:line="240" w:lineRule="auto"/>
        <w:jc w:val="both"/>
        <w:rPr>
          <w:rFonts w:ascii="Arial" w:hAnsi="Arial" w:cs="Arial"/>
          <w:sz w:val="20"/>
          <w:szCs w:val="20"/>
        </w:rPr>
      </w:pPr>
      <w:r w:rsidRPr="007C7916">
        <w:rPr>
          <w:rFonts w:ascii="Arial" w:eastAsia="Calibri" w:hAnsi="Arial" w:cs="Arial"/>
          <w:sz w:val="20"/>
          <w:szCs w:val="20"/>
        </w:rPr>
        <w:t>A</w:t>
      </w:r>
      <w:r w:rsidR="00A00D63" w:rsidRPr="007C7916">
        <w:rPr>
          <w:rFonts w:ascii="Arial" w:eastAsia="Calibri" w:hAnsi="Arial" w:cs="Arial"/>
          <w:sz w:val="20"/>
          <w:szCs w:val="20"/>
        </w:rPr>
        <w:t xml:space="preserve">z </w:t>
      </w:r>
      <w:r w:rsidR="001B5DDB">
        <w:rPr>
          <w:rFonts w:ascii="Arial" w:eastAsia="Calibri" w:hAnsi="Arial" w:cs="Arial"/>
          <w:sz w:val="20"/>
          <w:szCs w:val="20"/>
        </w:rPr>
        <w:t>Ifjúsági</w:t>
      </w:r>
      <w:r w:rsidR="00EB159C">
        <w:rPr>
          <w:rFonts w:ascii="Arial" w:eastAsia="Calibri" w:hAnsi="Arial" w:cs="Arial"/>
          <w:sz w:val="20"/>
          <w:szCs w:val="20"/>
        </w:rPr>
        <w:t xml:space="preserve"> </w:t>
      </w:r>
      <w:r w:rsidR="00A00D63" w:rsidRPr="007C7916">
        <w:rPr>
          <w:rFonts w:ascii="Arial" w:eastAsia="Calibri" w:hAnsi="Arial" w:cs="Arial"/>
          <w:sz w:val="20"/>
          <w:szCs w:val="20"/>
        </w:rPr>
        <w:t>G</w:t>
      </w:r>
      <w:r w:rsidR="00EB159C">
        <w:rPr>
          <w:rFonts w:ascii="Arial" w:eastAsia="Calibri" w:hAnsi="Arial" w:cs="Arial"/>
          <w:sz w:val="20"/>
          <w:szCs w:val="20"/>
        </w:rPr>
        <w:t xml:space="preserve">arancia </w:t>
      </w:r>
      <w:r w:rsidR="00A00D63" w:rsidRPr="007C7916">
        <w:rPr>
          <w:rFonts w:ascii="Arial" w:eastAsia="Calibri" w:hAnsi="Arial" w:cs="Arial"/>
          <w:sz w:val="20"/>
          <w:szCs w:val="20"/>
        </w:rPr>
        <w:t>R</w:t>
      </w:r>
      <w:r w:rsidR="00EB159C">
        <w:rPr>
          <w:rFonts w:ascii="Arial" w:eastAsia="Calibri" w:hAnsi="Arial" w:cs="Arial"/>
          <w:sz w:val="20"/>
          <w:szCs w:val="20"/>
        </w:rPr>
        <w:t>endszer</w:t>
      </w:r>
      <w:r w:rsidRPr="007C7916">
        <w:rPr>
          <w:rFonts w:ascii="Arial" w:eastAsia="Calibri" w:hAnsi="Arial" w:cs="Arial"/>
          <w:sz w:val="20"/>
          <w:szCs w:val="20"/>
        </w:rPr>
        <w:t xml:space="preserve"> célja az, hogy a fiatalok minél rövidebb időt töltsenek munkanélküliségben, inaktivitásban, vagy tanulás nélkül, illetve, hogy személyre szabott segítséget kapjanak a munkaerő-piaci helyzetük javításához. A szakképzetlen fiatalok esetében elsősorban a gazdaság igényeihez igazodó szakképesítés megszerzésére, a szakképzett fiatalok esetében, pedig a munkatapasztalat megszerzésére, illetve a versenyszférában történő elhelyezkedésre</w:t>
      </w:r>
      <w:r w:rsidR="00AB4B0A" w:rsidRPr="007C7916">
        <w:rPr>
          <w:rFonts w:ascii="Arial" w:eastAsia="Calibri" w:hAnsi="Arial" w:cs="Arial"/>
          <w:sz w:val="20"/>
          <w:szCs w:val="20"/>
        </w:rPr>
        <w:t xml:space="preserve"> helyezi </w:t>
      </w:r>
      <w:r w:rsidRPr="007C7916">
        <w:rPr>
          <w:rFonts w:ascii="Arial" w:eastAsia="Calibri" w:hAnsi="Arial" w:cs="Arial"/>
          <w:sz w:val="20"/>
          <w:szCs w:val="20"/>
        </w:rPr>
        <w:t>a hangsúlyt.</w:t>
      </w:r>
      <w:r w:rsidRPr="007C7916">
        <w:rPr>
          <w:rFonts w:ascii="Arial" w:hAnsi="Arial" w:cs="Arial"/>
          <w:sz w:val="20"/>
          <w:szCs w:val="20"/>
        </w:rPr>
        <w:t xml:space="preserve"> </w:t>
      </w:r>
    </w:p>
    <w:p w:rsidR="001737C9" w:rsidRPr="007C7916" w:rsidRDefault="001737C9" w:rsidP="00EA6137">
      <w:pPr>
        <w:spacing w:before="120" w:after="120" w:line="240" w:lineRule="auto"/>
        <w:jc w:val="both"/>
        <w:rPr>
          <w:rFonts w:ascii="Arial" w:eastAsia="Calibri" w:hAnsi="Arial" w:cs="Arial"/>
          <w:sz w:val="20"/>
          <w:szCs w:val="20"/>
        </w:rPr>
      </w:pPr>
      <w:r w:rsidRPr="007C7916">
        <w:rPr>
          <w:rFonts w:ascii="Arial" w:eastAsia="Calibri" w:hAnsi="Arial" w:cs="Arial"/>
          <w:sz w:val="20"/>
          <w:szCs w:val="20"/>
        </w:rPr>
        <w:t>A rendszerbe vont fiatalok olyan komplex segítségnyújtásban részesülnek, mely során - a hagyományos foglalkoztatási szolgálati tevékenységeken túl - hangsúlyozottan több szakmai segítséggel kerülnek felhasználásra a foglalkoztatási eszköztárba tartozó szolgáltatások és támogatások, valamint a közoktatás, a szakképzés, a szociális terület és az ifjúságügy eszközrendszere.</w:t>
      </w:r>
    </w:p>
    <w:p w:rsidR="001737C9" w:rsidRPr="007C7916" w:rsidRDefault="001737C9" w:rsidP="00EA6137">
      <w:pPr>
        <w:spacing w:before="120" w:after="120" w:line="240" w:lineRule="auto"/>
        <w:jc w:val="both"/>
        <w:rPr>
          <w:rFonts w:ascii="Arial" w:eastAsia="Calibri" w:hAnsi="Arial" w:cs="Arial"/>
          <w:sz w:val="20"/>
          <w:szCs w:val="20"/>
        </w:rPr>
      </w:pPr>
      <w:r w:rsidRPr="007C7916">
        <w:rPr>
          <w:rFonts w:ascii="Arial" w:eastAsia="Calibri" w:hAnsi="Arial" w:cs="Arial"/>
          <w:sz w:val="20"/>
          <w:szCs w:val="20"/>
        </w:rPr>
        <w:t>Az Ifjúság</w:t>
      </w:r>
      <w:r w:rsidR="004A2751">
        <w:rPr>
          <w:rFonts w:ascii="Arial" w:eastAsia="Calibri" w:hAnsi="Arial" w:cs="Arial"/>
          <w:sz w:val="20"/>
          <w:szCs w:val="20"/>
        </w:rPr>
        <w:t>i</w:t>
      </w:r>
      <w:r w:rsidRPr="007C7916">
        <w:rPr>
          <w:rFonts w:ascii="Arial" w:eastAsia="Calibri" w:hAnsi="Arial" w:cs="Arial"/>
          <w:sz w:val="20"/>
          <w:szCs w:val="20"/>
        </w:rPr>
        <w:t xml:space="preserve"> Garancia Rendszerben megvalósuló munkaerő-piaci program a </w:t>
      </w:r>
      <w:r w:rsidRPr="00CD6448">
        <w:rPr>
          <w:rFonts w:ascii="Arial" w:eastAsia="Calibri" w:hAnsi="Arial" w:cs="Arial"/>
          <w:b/>
          <w:sz w:val="20"/>
          <w:szCs w:val="20"/>
        </w:rPr>
        <w:t xml:space="preserve">Gazdaságfejlesztési </w:t>
      </w:r>
      <w:r w:rsidR="004A2751">
        <w:rPr>
          <w:rFonts w:ascii="Arial" w:eastAsia="Calibri" w:hAnsi="Arial" w:cs="Arial"/>
          <w:b/>
          <w:sz w:val="20"/>
          <w:szCs w:val="20"/>
        </w:rPr>
        <w:t xml:space="preserve">és </w:t>
      </w:r>
      <w:r w:rsidRPr="00CD6448">
        <w:rPr>
          <w:rFonts w:ascii="Arial" w:eastAsia="Calibri" w:hAnsi="Arial" w:cs="Arial"/>
          <w:b/>
          <w:sz w:val="20"/>
          <w:szCs w:val="20"/>
        </w:rPr>
        <w:t>Innovációs Operatív Program (GINOP) 5.2.1 projektet</w:t>
      </w:r>
      <w:r w:rsidRPr="007C7916">
        <w:rPr>
          <w:rFonts w:ascii="Arial" w:eastAsia="Calibri" w:hAnsi="Arial" w:cs="Arial"/>
          <w:sz w:val="20"/>
          <w:szCs w:val="20"/>
        </w:rPr>
        <w:t xml:space="preserve"> a Nemzetgazdasági Minisztérium vezetése mellett, a </w:t>
      </w:r>
      <w:r w:rsidR="0097169A">
        <w:rPr>
          <w:rFonts w:ascii="Arial" w:eastAsia="Calibri" w:hAnsi="Arial" w:cs="Arial"/>
          <w:sz w:val="20"/>
          <w:szCs w:val="20"/>
        </w:rPr>
        <w:t xml:space="preserve">megyei kormányhivatalok </w:t>
      </w:r>
      <w:r w:rsidRPr="007C7916">
        <w:rPr>
          <w:rFonts w:ascii="Arial" w:eastAsia="Calibri" w:hAnsi="Arial" w:cs="Arial"/>
          <w:sz w:val="20"/>
          <w:szCs w:val="20"/>
        </w:rPr>
        <w:t xml:space="preserve">konzorciumban valósítják meg, az Európai </w:t>
      </w:r>
      <w:r w:rsidR="004061A4">
        <w:rPr>
          <w:rFonts w:ascii="Arial" w:eastAsia="Calibri" w:hAnsi="Arial" w:cs="Arial"/>
          <w:sz w:val="20"/>
          <w:szCs w:val="20"/>
        </w:rPr>
        <w:t>Szociális</w:t>
      </w:r>
      <w:r w:rsidRPr="007C7916">
        <w:rPr>
          <w:rFonts w:ascii="Arial" w:eastAsia="Calibri" w:hAnsi="Arial" w:cs="Arial"/>
          <w:sz w:val="20"/>
          <w:szCs w:val="20"/>
        </w:rPr>
        <w:t xml:space="preserve"> Alap (ESZA), az Ifjúsági Foglalkoztatási Kezdeményezés (YEI) és a nemzeti társfinanszírozás által biztosított összegből. A Borsod-Abaúj-Zemplén Megyében 2017. december 31-ig 5 620 fő támogatására nyílik lehetőség.</w:t>
      </w:r>
    </w:p>
    <w:p w:rsidR="001737C9" w:rsidRPr="007C7916" w:rsidRDefault="00CD6448" w:rsidP="00EA6137">
      <w:pPr>
        <w:spacing w:before="120" w:after="120" w:line="240" w:lineRule="auto"/>
        <w:jc w:val="both"/>
        <w:rPr>
          <w:rFonts w:ascii="Arial" w:eastAsia="Calibri" w:hAnsi="Arial" w:cs="Arial"/>
          <w:sz w:val="20"/>
          <w:szCs w:val="20"/>
        </w:rPr>
      </w:pPr>
      <w:r>
        <w:rPr>
          <w:rFonts w:ascii="Arial" w:eastAsia="Calibri" w:hAnsi="Arial" w:cs="Arial"/>
          <w:sz w:val="20"/>
          <w:szCs w:val="20"/>
        </w:rPr>
        <w:t xml:space="preserve">Az </w:t>
      </w:r>
      <w:r w:rsidRPr="007C7916">
        <w:rPr>
          <w:rFonts w:ascii="Arial" w:eastAsia="Calibri" w:hAnsi="Arial" w:cs="Arial"/>
          <w:sz w:val="20"/>
          <w:szCs w:val="20"/>
        </w:rPr>
        <w:t>Ifjúság</w:t>
      </w:r>
      <w:r w:rsidR="001B5DDB">
        <w:rPr>
          <w:rFonts w:ascii="Arial" w:eastAsia="Calibri" w:hAnsi="Arial" w:cs="Arial"/>
          <w:sz w:val="20"/>
          <w:szCs w:val="20"/>
        </w:rPr>
        <w:t>i</w:t>
      </w:r>
      <w:r w:rsidRPr="007C7916">
        <w:rPr>
          <w:rFonts w:ascii="Arial" w:eastAsia="Calibri" w:hAnsi="Arial" w:cs="Arial"/>
          <w:sz w:val="20"/>
          <w:szCs w:val="20"/>
        </w:rPr>
        <w:t xml:space="preserve"> Garancia Ren</w:t>
      </w:r>
      <w:r>
        <w:rPr>
          <w:rFonts w:ascii="Arial" w:eastAsia="Calibri" w:hAnsi="Arial" w:cs="Arial"/>
          <w:sz w:val="20"/>
          <w:szCs w:val="20"/>
        </w:rPr>
        <w:t>dszer</w:t>
      </w:r>
      <w:r w:rsidRPr="007C7916">
        <w:rPr>
          <w:rFonts w:ascii="Arial" w:eastAsia="Calibri" w:hAnsi="Arial" w:cs="Arial"/>
          <w:sz w:val="20"/>
          <w:szCs w:val="20"/>
        </w:rPr>
        <w:t xml:space="preserve"> </w:t>
      </w:r>
      <w:r w:rsidR="001737C9" w:rsidRPr="007C7916">
        <w:rPr>
          <w:rFonts w:ascii="Arial" w:eastAsia="Calibri" w:hAnsi="Arial" w:cs="Arial"/>
          <w:sz w:val="20"/>
          <w:szCs w:val="20"/>
        </w:rPr>
        <w:t>keretében megvalósuló munkaerő-piaci program szerepe, hogy a célcsoportba tartozó azon fiatalok számára, akiknek a foglalkoztatási szerv eszköztárába tartozó támogatást is indokolt adni, ezt a támogatást szakmailag és pénzügyileg biztosítsa. Cél, hogy a munkaerő-piaci program által nyújtottak segítségével javuljon a fiatal munkaerő-piaci helyzete, s mihamarabb megvalósulhasson a támogatás nélküli elhelyezkedése</w:t>
      </w:r>
    </w:p>
    <w:p w:rsidR="00066B8D" w:rsidRPr="007C7916" w:rsidRDefault="004649AA" w:rsidP="00EA6137">
      <w:pPr>
        <w:spacing w:before="120" w:after="120" w:line="240" w:lineRule="auto"/>
        <w:jc w:val="both"/>
        <w:rPr>
          <w:rFonts w:ascii="Arial" w:hAnsi="Arial" w:cs="Arial"/>
          <w:sz w:val="20"/>
          <w:szCs w:val="20"/>
        </w:rPr>
      </w:pPr>
      <w:r w:rsidRPr="007C7916">
        <w:rPr>
          <w:rFonts w:ascii="Arial" w:eastAsia="Calibri" w:hAnsi="Arial" w:cs="Arial"/>
          <w:sz w:val="20"/>
          <w:szCs w:val="20"/>
        </w:rPr>
        <w:t>Az I</w:t>
      </w:r>
      <w:r w:rsidR="00331902" w:rsidRPr="007C7916">
        <w:rPr>
          <w:rFonts w:ascii="Arial" w:eastAsia="Calibri" w:hAnsi="Arial" w:cs="Arial"/>
          <w:sz w:val="20"/>
          <w:szCs w:val="20"/>
        </w:rPr>
        <w:t>fjúság</w:t>
      </w:r>
      <w:r w:rsidR="001B5DDB">
        <w:rPr>
          <w:rFonts w:ascii="Arial" w:eastAsia="Calibri" w:hAnsi="Arial" w:cs="Arial"/>
          <w:sz w:val="20"/>
          <w:szCs w:val="20"/>
        </w:rPr>
        <w:t>i</w:t>
      </w:r>
      <w:r w:rsidR="00331902" w:rsidRPr="007C7916">
        <w:rPr>
          <w:rFonts w:ascii="Arial" w:eastAsia="Calibri" w:hAnsi="Arial" w:cs="Arial"/>
          <w:sz w:val="20"/>
          <w:szCs w:val="20"/>
        </w:rPr>
        <w:t xml:space="preserve"> Garancia R</w:t>
      </w:r>
      <w:r w:rsidRPr="007C7916">
        <w:rPr>
          <w:rFonts w:ascii="Arial" w:eastAsia="Calibri" w:hAnsi="Arial" w:cs="Arial"/>
          <w:sz w:val="20"/>
          <w:szCs w:val="20"/>
        </w:rPr>
        <w:t>endszerbe történő belépés</w:t>
      </w:r>
      <w:r w:rsidR="00A00D63" w:rsidRPr="007C7916">
        <w:rPr>
          <w:rFonts w:ascii="Arial" w:eastAsia="Calibri" w:hAnsi="Arial" w:cs="Arial"/>
          <w:sz w:val="20"/>
          <w:szCs w:val="20"/>
        </w:rPr>
        <w:t>i pontok</w:t>
      </w:r>
      <w:r w:rsidRPr="007C7916">
        <w:rPr>
          <w:rFonts w:ascii="Arial" w:eastAsia="Calibri" w:hAnsi="Arial" w:cs="Arial"/>
          <w:sz w:val="20"/>
          <w:szCs w:val="20"/>
        </w:rPr>
        <w:t xml:space="preserve"> a </w:t>
      </w:r>
      <w:r w:rsidR="0097169A">
        <w:rPr>
          <w:rFonts w:ascii="Arial" w:eastAsia="Calibri" w:hAnsi="Arial" w:cs="Arial"/>
          <w:sz w:val="20"/>
          <w:szCs w:val="20"/>
        </w:rPr>
        <w:t>j</w:t>
      </w:r>
      <w:r w:rsidRPr="007C7916">
        <w:rPr>
          <w:rFonts w:ascii="Arial" w:eastAsia="Calibri" w:hAnsi="Arial" w:cs="Arial"/>
          <w:sz w:val="20"/>
          <w:szCs w:val="20"/>
        </w:rPr>
        <w:t xml:space="preserve">árási </w:t>
      </w:r>
      <w:r w:rsidR="0097169A">
        <w:rPr>
          <w:rFonts w:ascii="Arial" w:eastAsia="Calibri" w:hAnsi="Arial" w:cs="Arial"/>
          <w:sz w:val="20"/>
          <w:szCs w:val="20"/>
        </w:rPr>
        <w:t>hivatalok foglalkoztatási osztályai</w:t>
      </w:r>
      <w:r w:rsidR="00A00D63" w:rsidRPr="007C7916">
        <w:rPr>
          <w:rFonts w:ascii="Arial" w:eastAsia="Calibri" w:hAnsi="Arial" w:cs="Arial"/>
          <w:sz w:val="20"/>
          <w:szCs w:val="20"/>
        </w:rPr>
        <w:t>.</w:t>
      </w:r>
      <w:r w:rsidRPr="007C7916">
        <w:rPr>
          <w:rFonts w:ascii="Arial" w:eastAsia="Calibri" w:hAnsi="Arial" w:cs="Arial"/>
          <w:sz w:val="20"/>
          <w:szCs w:val="20"/>
        </w:rPr>
        <w:t xml:space="preserve"> </w:t>
      </w:r>
      <w:r w:rsidR="00066B8D" w:rsidRPr="007C7916">
        <w:rPr>
          <w:rFonts w:ascii="Arial" w:hAnsi="Arial" w:cs="Arial"/>
          <w:sz w:val="20"/>
          <w:szCs w:val="20"/>
        </w:rPr>
        <w:t xml:space="preserve">A munkaadók </w:t>
      </w:r>
      <w:r w:rsidR="000B7A5A" w:rsidRPr="007C7916">
        <w:rPr>
          <w:rFonts w:ascii="Arial" w:hAnsi="Arial" w:cs="Arial"/>
          <w:sz w:val="20"/>
          <w:szCs w:val="20"/>
        </w:rPr>
        <w:t xml:space="preserve">a </w:t>
      </w:r>
      <w:r w:rsidR="0097169A">
        <w:rPr>
          <w:rFonts w:ascii="Arial" w:hAnsi="Arial" w:cs="Arial"/>
          <w:sz w:val="20"/>
          <w:szCs w:val="20"/>
        </w:rPr>
        <w:t>járási hivatalokhoz</w:t>
      </w:r>
      <w:r w:rsidR="00066B8D" w:rsidRPr="007C7916">
        <w:rPr>
          <w:rFonts w:ascii="Arial" w:hAnsi="Arial" w:cs="Arial"/>
          <w:sz w:val="20"/>
          <w:szCs w:val="20"/>
        </w:rPr>
        <w:t xml:space="preserve"> benyújtott kérelem alapján kaphatnak</w:t>
      </w:r>
      <w:r w:rsidR="00CD6448">
        <w:rPr>
          <w:rFonts w:ascii="Arial" w:hAnsi="Arial" w:cs="Arial"/>
          <w:sz w:val="20"/>
          <w:szCs w:val="20"/>
        </w:rPr>
        <w:t xml:space="preserve"> foglalkoztatási támogatást, ha</w:t>
      </w:r>
      <w:r w:rsidR="00066B8D" w:rsidRPr="007C7916">
        <w:rPr>
          <w:rFonts w:ascii="Arial" w:hAnsi="Arial" w:cs="Arial"/>
          <w:sz w:val="20"/>
          <w:szCs w:val="20"/>
        </w:rPr>
        <w:t xml:space="preserve"> programban résztvevő fiatal álláskeresőt foglalkoztatnak munkaviszony keretében, teljes munkaidőben, vagy legalább a napi 4 órát elérő részmunkaidőben.</w:t>
      </w:r>
    </w:p>
    <w:p w:rsidR="00066B8D" w:rsidRPr="007C7916" w:rsidRDefault="00066B8D" w:rsidP="00EA6137">
      <w:pPr>
        <w:tabs>
          <w:tab w:val="left" w:pos="1440"/>
          <w:tab w:val="left" w:pos="3060"/>
        </w:tabs>
        <w:autoSpaceDE w:val="0"/>
        <w:autoSpaceDN w:val="0"/>
        <w:adjustRightInd w:val="0"/>
        <w:spacing w:before="120" w:after="120" w:line="240" w:lineRule="auto"/>
        <w:jc w:val="both"/>
        <w:rPr>
          <w:rFonts w:ascii="Arial" w:hAnsi="Arial" w:cs="Arial"/>
          <w:sz w:val="20"/>
          <w:szCs w:val="20"/>
        </w:rPr>
      </w:pPr>
      <w:r w:rsidRPr="007C7916">
        <w:rPr>
          <w:rFonts w:ascii="Arial" w:hAnsi="Arial" w:cs="Arial"/>
          <w:sz w:val="20"/>
          <w:szCs w:val="20"/>
        </w:rPr>
        <w:t>A foglalkoztatási támogatás igénybevételével egyidejűleg ugyanazon személy foglalkoztatására tekintettel az adókedvezményekre való jogosultságok is érvényesíthetőek (például Rehabilitációs kártya, a Munkahelyvédelmi Akcióterv által biztosított adókedvezmény), természetesen a projekt keretében nyújtható támogatásnál a munkáltató által ténylegesen megfizetett összeget kell figyelembe venni. A halmozódás eredményeképpen a bruttó támogatási intenzitás nem haladhatja meg a bér 100%-át a munkavállaló foglalkoztatásának bármely időszaka alatt.</w:t>
      </w:r>
    </w:p>
    <w:p w:rsidR="00826FFF" w:rsidRDefault="00A13A3F" w:rsidP="00EA6137">
      <w:pPr>
        <w:tabs>
          <w:tab w:val="left" w:pos="1440"/>
          <w:tab w:val="left" w:pos="3060"/>
        </w:tabs>
        <w:autoSpaceDE w:val="0"/>
        <w:autoSpaceDN w:val="0"/>
        <w:adjustRightInd w:val="0"/>
        <w:spacing w:before="120" w:after="120" w:line="240" w:lineRule="auto"/>
        <w:jc w:val="both"/>
        <w:rPr>
          <w:rFonts w:ascii="Arial" w:hAnsi="Arial" w:cs="Arial"/>
          <w:sz w:val="20"/>
          <w:szCs w:val="20"/>
        </w:rPr>
      </w:pPr>
      <w:r w:rsidRPr="007C7916">
        <w:rPr>
          <w:rFonts w:ascii="Arial" w:hAnsi="Arial" w:cs="Arial"/>
          <w:sz w:val="20"/>
          <w:szCs w:val="20"/>
        </w:rPr>
        <w:t>A támogatások (beleértve a továbbfoglalkoztatási kötelezettség végső dátumát is) nem nyúlhat túl a munkaerő-piaci program szakmai megvalósításának záró dá</w:t>
      </w:r>
      <w:r w:rsidR="00A00D63" w:rsidRPr="007C7916">
        <w:rPr>
          <w:rFonts w:ascii="Arial" w:hAnsi="Arial" w:cs="Arial"/>
          <w:sz w:val="20"/>
          <w:szCs w:val="20"/>
        </w:rPr>
        <w:t>tumán, ami 2017. december 31.</w:t>
      </w:r>
    </w:p>
    <w:p w:rsidR="00F60500" w:rsidRPr="007C7916" w:rsidRDefault="00F60500" w:rsidP="00EA6137">
      <w:pPr>
        <w:tabs>
          <w:tab w:val="left" w:pos="1440"/>
          <w:tab w:val="left" w:pos="3060"/>
        </w:tabs>
        <w:autoSpaceDE w:val="0"/>
        <w:autoSpaceDN w:val="0"/>
        <w:adjustRightInd w:val="0"/>
        <w:spacing w:before="120" w:after="120" w:line="240" w:lineRule="auto"/>
        <w:jc w:val="both"/>
        <w:rPr>
          <w:rFonts w:ascii="Arial" w:hAnsi="Arial" w:cs="Arial"/>
          <w:sz w:val="20"/>
          <w:szCs w:val="20"/>
        </w:rPr>
      </w:pPr>
    </w:p>
    <w:p w:rsidR="00826FFF" w:rsidRDefault="00826FFF" w:rsidP="00826FFF">
      <w:pPr>
        <w:jc w:val="both"/>
        <w:rPr>
          <w:rFonts w:ascii="Arial" w:hAnsi="Arial" w:cs="Arial"/>
          <w:b/>
          <w:sz w:val="20"/>
          <w:szCs w:val="20"/>
        </w:rPr>
      </w:pPr>
      <w:r w:rsidRPr="007C7916">
        <w:rPr>
          <w:rFonts w:ascii="Arial" w:hAnsi="Arial" w:cs="Arial"/>
          <w:b/>
          <w:sz w:val="20"/>
          <w:szCs w:val="20"/>
        </w:rPr>
        <w:lastRenderedPageBreak/>
        <w:t>A programban nyújtható foglalkoztatást elősegítő támogatások:</w:t>
      </w:r>
    </w:p>
    <w:p w:rsidR="00310E33" w:rsidRPr="007C7916" w:rsidRDefault="00310E33" w:rsidP="00826FFF">
      <w:pPr>
        <w:jc w:val="both"/>
        <w:rPr>
          <w:rFonts w:ascii="Arial" w:hAnsi="Arial" w:cs="Arial"/>
          <w:b/>
          <w:sz w:val="20"/>
          <w:szCs w:val="20"/>
        </w:rPr>
      </w:pPr>
    </w:p>
    <w:p w:rsidR="00826FFF" w:rsidRPr="007C7916" w:rsidRDefault="00826FFF" w:rsidP="00826FFF">
      <w:pPr>
        <w:pStyle w:val="Listaszerbekezds"/>
        <w:numPr>
          <w:ilvl w:val="0"/>
          <w:numId w:val="4"/>
        </w:numPr>
        <w:jc w:val="both"/>
        <w:rPr>
          <w:rFonts w:ascii="Arial" w:hAnsi="Arial" w:cs="Arial"/>
          <w:b/>
          <w:sz w:val="20"/>
          <w:szCs w:val="20"/>
        </w:rPr>
      </w:pPr>
      <w:r w:rsidRPr="007C7916">
        <w:rPr>
          <w:rFonts w:ascii="Arial" w:hAnsi="Arial" w:cs="Arial"/>
          <w:b/>
          <w:sz w:val="20"/>
          <w:szCs w:val="20"/>
        </w:rPr>
        <w:t xml:space="preserve">Foglalkoztatás bővítését elősegítő </w:t>
      </w:r>
      <w:r w:rsidR="0009444B">
        <w:rPr>
          <w:rFonts w:ascii="Arial" w:hAnsi="Arial" w:cs="Arial"/>
          <w:b/>
          <w:sz w:val="20"/>
          <w:szCs w:val="20"/>
        </w:rPr>
        <w:t>bér</w:t>
      </w:r>
      <w:r w:rsidRPr="007C7916">
        <w:rPr>
          <w:rFonts w:ascii="Arial" w:hAnsi="Arial" w:cs="Arial"/>
          <w:b/>
          <w:sz w:val="20"/>
          <w:szCs w:val="20"/>
        </w:rPr>
        <w:t>támogatás (legfeljebb 8+4 hó)</w:t>
      </w:r>
    </w:p>
    <w:p w:rsidR="00826FFF" w:rsidRPr="007C7916" w:rsidRDefault="00826FFF" w:rsidP="00826FFF">
      <w:pPr>
        <w:jc w:val="both"/>
        <w:rPr>
          <w:rFonts w:ascii="Arial" w:hAnsi="Arial" w:cs="Arial"/>
          <w:sz w:val="20"/>
          <w:szCs w:val="20"/>
        </w:rPr>
      </w:pPr>
      <w:r w:rsidRPr="007C7916">
        <w:rPr>
          <w:rFonts w:ascii="Arial" w:hAnsi="Arial" w:cs="Arial"/>
          <w:sz w:val="20"/>
          <w:szCs w:val="20"/>
        </w:rPr>
        <w:t xml:space="preserve">A támogatás legfeljebb nyolc hónap időtartamú foglalkoztatáshoz nyújtható. </w:t>
      </w:r>
      <w:r w:rsidRPr="007C7916">
        <w:rPr>
          <w:rFonts w:ascii="Arial" w:eastAsia="Arial Unicode MS" w:hAnsi="Arial" w:cs="Arial"/>
          <w:bCs/>
          <w:sz w:val="20"/>
          <w:szCs w:val="20"/>
        </w:rPr>
        <w:t xml:space="preserve">A munkaadónak vállalnia kell a munkavállaló munkaviszony keretében történő foglalkoztatását a támogatás folyósításának, ill. a támogatás folyósítási időtartama 50%-ának megfelelő további időtartamban. </w:t>
      </w:r>
      <w:r w:rsidRPr="007C7916">
        <w:rPr>
          <w:rFonts w:ascii="Arial" w:hAnsi="Arial" w:cs="Arial"/>
          <w:sz w:val="20"/>
          <w:szCs w:val="20"/>
        </w:rPr>
        <w:t xml:space="preserve">A támogatás mértéke a munkabér és a ténylegesen átutalásra kerülő szociális hozzájárulási adója legfeljebb 70%-a lehet. </w:t>
      </w:r>
    </w:p>
    <w:p w:rsidR="00826FFF" w:rsidRPr="007C7916" w:rsidRDefault="00826FFF" w:rsidP="00826FFF">
      <w:pPr>
        <w:jc w:val="both"/>
        <w:rPr>
          <w:rFonts w:ascii="Arial" w:hAnsi="Arial" w:cs="Arial"/>
          <w:sz w:val="20"/>
          <w:szCs w:val="20"/>
        </w:rPr>
      </w:pPr>
      <w:r w:rsidRPr="007C7916">
        <w:rPr>
          <w:rFonts w:ascii="Arial" w:hAnsi="Arial" w:cs="Arial"/>
          <w:sz w:val="20"/>
          <w:szCs w:val="20"/>
        </w:rPr>
        <w:t xml:space="preserve">A támogatás igénybevételének egyéb feltétele, hogy az általános csoportmentességi rendelet I. fejezet 4. cikkének (1) bekezdés o), p) pontjai alapján az adott pénzügyi évben hátrányos helyzetű személy elhelyezkedésére tekintettel munkabér és szociális hozzájárulási adója címen kapott összes állami támogatás támogatástartalma jelen támogatással együtt nem haladja meg az évi 5 millió, megváltozott munkaképességű személy esetén az évi 10 millió euro értéknek megfelelő összeget. </w:t>
      </w:r>
    </w:p>
    <w:p w:rsidR="00826FFF" w:rsidRPr="007C7916" w:rsidRDefault="00826FFF" w:rsidP="00826FFF">
      <w:pPr>
        <w:pStyle w:val="NormlWeb"/>
        <w:spacing w:before="0" w:beforeAutospacing="0" w:after="0" w:afterAutospacing="0"/>
        <w:ind w:right="147"/>
        <w:jc w:val="both"/>
        <w:rPr>
          <w:rFonts w:ascii="Arial" w:hAnsi="Arial" w:cs="Arial"/>
          <w:color w:val="auto"/>
          <w:sz w:val="20"/>
          <w:szCs w:val="20"/>
        </w:rPr>
      </w:pPr>
      <w:r w:rsidRPr="007C7916">
        <w:rPr>
          <w:rFonts w:ascii="Arial" w:hAnsi="Arial" w:cs="Arial"/>
          <w:color w:val="auto"/>
          <w:sz w:val="20"/>
          <w:szCs w:val="20"/>
        </w:rPr>
        <w:t xml:space="preserve">Más állami támogatással vagy más közösségi finanszírozással ugyanazokra a költségekre (munkabér és szociális hozzájárulási adója) vonatkozóan kapott támogatás bruttó támogatási intenzitása jelen támogatással együtt nem haladja a bérköltségek 50%-át, megváltozott munkaképességű személy foglalkoztatása esetén a bérköltségek 75%-át. </w:t>
      </w:r>
    </w:p>
    <w:p w:rsidR="00826FFF" w:rsidRDefault="00826FFF" w:rsidP="00826FFF">
      <w:pPr>
        <w:tabs>
          <w:tab w:val="left" w:pos="5220"/>
        </w:tabs>
        <w:jc w:val="both"/>
        <w:rPr>
          <w:rFonts w:ascii="Arial" w:hAnsi="Arial" w:cs="Arial"/>
          <w:sz w:val="20"/>
          <w:szCs w:val="20"/>
        </w:rPr>
      </w:pPr>
    </w:p>
    <w:p w:rsidR="00795627" w:rsidRPr="007C7916" w:rsidRDefault="00795627" w:rsidP="00826FFF">
      <w:pPr>
        <w:tabs>
          <w:tab w:val="left" w:pos="5220"/>
        </w:tabs>
        <w:jc w:val="both"/>
        <w:rPr>
          <w:rFonts w:ascii="Arial" w:hAnsi="Arial" w:cs="Arial"/>
          <w:sz w:val="20"/>
          <w:szCs w:val="20"/>
        </w:rPr>
      </w:pPr>
      <w:bookmarkStart w:id="0" w:name="_GoBack"/>
      <w:bookmarkEnd w:id="0"/>
    </w:p>
    <w:p w:rsidR="00826FFF" w:rsidRPr="007C7916" w:rsidRDefault="00826FFF" w:rsidP="00826FFF">
      <w:pPr>
        <w:pStyle w:val="Listaszerbekezds"/>
        <w:numPr>
          <w:ilvl w:val="0"/>
          <w:numId w:val="4"/>
        </w:numPr>
        <w:jc w:val="both"/>
        <w:rPr>
          <w:rFonts w:ascii="Arial" w:hAnsi="Arial" w:cs="Arial"/>
          <w:b/>
          <w:sz w:val="20"/>
          <w:szCs w:val="20"/>
        </w:rPr>
      </w:pPr>
      <w:r w:rsidRPr="007C7916">
        <w:rPr>
          <w:rFonts w:ascii="Arial" w:hAnsi="Arial" w:cs="Arial"/>
          <w:b/>
          <w:sz w:val="20"/>
          <w:szCs w:val="20"/>
        </w:rPr>
        <w:t>Bérköltség támogatás</w:t>
      </w:r>
    </w:p>
    <w:p w:rsidR="00826FFF" w:rsidRPr="007C7916" w:rsidRDefault="00826FFF" w:rsidP="00826FFF">
      <w:pPr>
        <w:jc w:val="both"/>
        <w:rPr>
          <w:rFonts w:ascii="Arial" w:hAnsi="Arial" w:cs="Arial"/>
          <w:sz w:val="20"/>
          <w:szCs w:val="20"/>
        </w:rPr>
      </w:pPr>
      <w:r w:rsidRPr="007C7916">
        <w:rPr>
          <w:rFonts w:ascii="Arial" w:hAnsi="Arial" w:cs="Arial"/>
          <w:sz w:val="20"/>
          <w:szCs w:val="20"/>
        </w:rPr>
        <w:t>A bérköltség támogatások konstrukciói csak de minimis támogatásként nyújthatók. Egy és ugyanazon vállalkozásnak bármilyen forrásból odaítélt de minimis támogatások támogatástartalma három egymást követő év alatt tagállamonként nem haladja meg a 200 000 eurónak (ideértve a közúti személyszállítást is), közúti kereskedelmi árufuvarozás esetén 100 000 eurónak</w:t>
      </w:r>
      <w:r w:rsidR="007B04ED">
        <w:rPr>
          <w:rFonts w:ascii="Arial" w:hAnsi="Arial" w:cs="Arial"/>
          <w:sz w:val="20"/>
          <w:szCs w:val="20"/>
        </w:rPr>
        <w:t>.</w:t>
      </w:r>
      <w:r w:rsidRPr="007C7916">
        <w:rPr>
          <w:rFonts w:ascii="Arial" w:hAnsi="Arial" w:cs="Arial"/>
          <w:sz w:val="20"/>
          <w:szCs w:val="20"/>
        </w:rPr>
        <w:t xml:space="preserve"> Nem nyújtható de minimis támogatás a 1407/2013/EU rendelet szerint tilalmazott esetekben.</w:t>
      </w:r>
    </w:p>
    <w:p w:rsidR="00826FFF" w:rsidRPr="007C7916" w:rsidRDefault="00826FFF" w:rsidP="00826FFF">
      <w:pPr>
        <w:jc w:val="both"/>
        <w:rPr>
          <w:rFonts w:ascii="Arial" w:hAnsi="Arial" w:cs="Arial"/>
          <w:sz w:val="20"/>
          <w:szCs w:val="20"/>
        </w:rPr>
      </w:pPr>
      <w:r w:rsidRPr="007C7916">
        <w:rPr>
          <w:rFonts w:ascii="Arial" w:hAnsi="Arial" w:cs="Arial"/>
          <w:sz w:val="20"/>
          <w:szCs w:val="20"/>
        </w:rPr>
        <w:t>A projektben három féle konstrukcióban nyújtható bérköltség támogatás (mindhárom csak nyilvántartott álláskeresők esetén):</w:t>
      </w:r>
    </w:p>
    <w:p w:rsidR="00826FFF" w:rsidRPr="007C7916" w:rsidRDefault="00826FFF" w:rsidP="00826FFF">
      <w:pPr>
        <w:pStyle w:val="Listaszerbekezds"/>
        <w:numPr>
          <w:ilvl w:val="0"/>
          <w:numId w:val="10"/>
        </w:numPr>
        <w:tabs>
          <w:tab w:val="left" w:pos="1440"/>
          <w:tab w:val="left" w:pos="3060"/>
        </w:tabs>
        <w:autoSpaceDE w:val="0"/>
        <w:autoSpaceDN w:val="0"/>
        <w:adjustRightInd w:val="0"/>
        <w:spacing w:after="0" w:line="276" w:lineRule="auto"/>
        <w:jc w:val="both"/>
        <w:rPr>
          <w:rFonts w:ascii="Arial" w:hAnsi="Arial" w:cs="Arial"/>
          <w:sz w:val="20"/>
          <w:szCs w:val="20"/>
        </w:rPr>
      </w:pPr>
      <w:r w:rsidRPr="007C7916">
        <w:rPr>
          <w:rFonts w:ascii="Arial" w:hAnsi="Arial" w:cs="Arial"/>
          <w:b/>
          <w:sz w:val="20"/>
          <w:szCs w:val="20"/>
        </w:rPr>
        <w:t>legfeljebb 90 nap:</w:t>
      </w:r>
    </w:p>
    <w:p w:rsidR="00826FFF" w:rsidRPr="007C7916" w:rsidRDefault="00826FFF" w:rsidP="00826FFF">
      <w:pPr>
        <w:tabs>
          <w:tab w:val="left" w:pos="1440"/>
          <w:tab w:val="left" w:pos="3060"/>
        </w:tabs>
        <w:autoSpaceDE w:val="0"/>
        <w:autoSpaceDN w:val="0"/>
        <w:adjustRightInd w:val="0"/>
        <w:jc w:val="both"/>
        <w:rPr>
          <w:rFonts w:ascii="Arial" w:hAnsi="Arial" w:cs="Arial"/>
          <w:sz w:val="20"/>
          <w:szCs w:val="20"/>
        </w:rPr>
      </w:pPr>
      <w:r w:rsidRPr="007C7916">
        <w:rPr>
          <w:rFonts w:ascii="Arial" w:hAnsi="Arial" w:cs="Arial"/>
          <w:sz w:val="20"/>
          <w:szCs w:val="20"/>
        </w:rPr>
        <w:t xml:space="preserve">Munkatapasztalat-szerzés céljából adott bérköltség támogatás legfeljebb 90 napra nyújtható. A támogatás mértéke a munkabér és a ténylegesen megfizetendő szociális hozzájárulási adó legfeljebb 100%-a lehet. Célja egyrészt oldani a munkáltatók előítéleteit, másrészt, hogy a résztvevők önmaguk is meggyőződjenek arról, hogy alkalmasak a képzettségük, a képességeik, a korábbi szakmai tapasztalataik alapján a valós munkafeltételek között zajló munkavégzésre. </w:t>
      </w:r>
    </w:p>
    <w:p w:rsidR="00826FFF" w:rsidRPr="007C7916" w:rsidRDefault="00826FFF" w:rsidP="00826FFF">
      <w:pPr>
        <w:tabs>
          <w:tab w:val="left" w:pos="1440"/>
          <w:tab w:val="left" w:pos="3060"/>
        </w:tabs>
        <w:autoSpaceDE w:val="0"/>
        <w:autoSpaceDN w:val="0"/>
        <w:adjustRightInd w:val="0"/>
        <w:jc w:val="both"/>
        <w:rPr>
          <w:rFonts w:ascii="Arial" w:hAnsi="Arial" w:cs="Arial"/>
          <w:sz w:val="20"/>
          <w:szCs w:val="20"/>
        </w:rPr>
      </w:pPr>
      <w:r w:rsidRPr="007C7916">
        <w:rPr>
          <w:rFonts w:ascii="Arial" w:hAnsi="Arial" w:cs="Arial"/>
          <w:sz w:val="20"/>
          <w:szCs w:val="20"/>
        </w:rPr>
        <w:t xml:space="preserve">Szükséges, hogy a munkavállaló felvétele a támogatás kezdő időpontját megelőző 6 havi átlagos statisztikai létszámhoz viszonyítva a munkavállalói létszám növekedését eredményezze. </w:t>
      </w:r>
    </w:p>
    <w:p w:rsidR="00826FFF" w:rsidRPr="007C7916" w:rsidRDefault="00826FFF" w:rsidP="00826FFF">
      <w:pPr>
        <w:tabs>
          <w:tab w:val="left" w:pos="1440"/>
          <w:tab w:val="left" w:pos="3060"/>
        </w:tabs>
        <w:autoSpaceDE w:val="0"/>
        <w:autoSpaceDN w:val="0"/>
        <w:adjustRightInd w:val="0"/>
        <w:jc w:val="both"/>
        <w:rPr>
          <w:rFonts w:ascii="Arial" w:hAnsi="Arial" w:cs="Arial"/>
          <w:sz w:val="20"/>
          <w:szCs w:val="20"/>
        </w:rPr>
      </w:pPr>
      <w:r w:rsidRPr="007C7916">
        <w:rPr>
          <w:rFonts w:ascii="Arial" w:hAnsi="Arial" w:cs="Arial"/>
          <w:sz w:val="20"/>
          <w:szCs w:val="20"/>
        </w:rPr>
        <w:t xml:space="preserve">A munkaadó próbaidőt nem köthet ki, valamint a foglalkoztatási kötelezettség alatt közös megegyezéssel nem szüntetheti meg a résztvevő munkaviszonyát, illetve hogy a foglalkoztatási kötelezettség alatt a munkaadó működésével összefüggő okból történő felmondással sem szüntetheti meg a résztvevő, illetve a </w:t>
      </w:r>
      <w:r w:rsidRPr="007C7916">
        <w:rPr>
          <w:rFonts w:ascii="Arial" w:eastAsia="MS Mincho" w:hAnsi="Arial" w:cs="Arial"/>
          <w:sz w:val="20"/>
          <w:szCs w:val="20"/>
        </w:rPr>
        <w:t>vele azonos vagy hasonló munkakörben foglalkoztatottak munkaviszonyát.</w:t>
      </w:r>
    </w:p>
    <w:p w:rsidR="00826FFF" w:rsidRPr="007C7916" w:rsidRDefault="00826FFF" w:rsidP="00826FFF">
      <w:pPr>
        <w:jc w:val="both"/>
        <w:rPr>
          <w:rFonts w:ascii="Arial" w:hAnsi="Arial" w:cs="Arial"/>
          <w:sz w:val="20"/>
          <w:szCs w:val="20"/>
        </w:rPr>
      </w:pPr>
      <w:r w:rsidRPr="007C7916">
        <w:rPr>
          <w:rFonts w:ascii="Arial" w:hAnsi="Arial" w:cs="Arial"/>
          <w:sz w:val="20"/>
          <w:szCs w:val="20"/>
        </w:rPr>
        <w:t xml:space="preserve">A legfeljebb 90 napos munkatapasztalat-szerzést követően adható még a maximum 12 havi bértámogatás is, a legfeljebb 8+4 havi konstrukcióban  </w:t>
      </w:r>
    </w:p>
    <w:p w:rsidR="00826FFF" w:rsidRPr="007C7916" w:rsidRDefault="00826FFF" w:rsidP="0020538F">
      <w:pPr>
        <w:pStyle w:val="Listaszerbekezds"/>
        <w:numPr>
          <w:ilvl w:val="0"/>
          <w:numId w:val="9"/>
        </w:numPr>
        <w:spacing w:after="0"/>
        <w:rPr>
          <w:rFonts w:ascii="Arial" w:hAnsi="Arial" w:cs="Arial"/>
          <w:sz w:val="20"/>
          <w:szCs w:val="20"/>
        </w:rPr>
      </w:pPr>
      <w:r w:rsidRPr="007C7916">
        <w:rPr>
          <w:rFonts w:ascii="Arial" w:hAnsi="Arial" w:cs="Arial"/>
          <w:b/>
          <w:sz w:val="20"/>
          <w:szCs w:val="20"/>
        </w:rPr>
        <w:t>„legfeljebb 10+5 havi”konstrukció</w:t>
      </w:r>
      <w:r w:rsidRPr="007C7916">
        <w:rPr>
          <w:rFonts w:ascii="Arial" w:hAnsi="Arial" w:cs="Arial"/>
          <w:sz w:val="20"/>
          <w:szCs w:val="20"/>
        </w:rPr>
        <w:t>:</w:t>
      </w:r>
    </w:p>
    <w:p w:rsidR="00826FFF" w:rsidRPr="007C7916" w:rsidRDefault="00826FFF" w:rsidP="0020538F">
      <w:pPr>
        <w:spacing w:after="0"/>
        <w:jc w:val="both"/>
        <w:rPr>
          <w:rFonts w:ascii="Arial" w:hAnsi="Arial" w:cs="Arial"/>
          <w:sz w:val="20"/>
          <w:szCs w:val="20"/>
        </w:rPr>
      </w:pPr>
      <w:r w:rsidRPr="007C7916">
        <w:rPr>
          <w:rFonts w:ascii="Arial" w:hAnsi="Arial" w:cs="Arial"/>
          <w:sz w:val="20"/>
          <w:szCs w:val="20"/>
        </w:rPr>
        <w:t>A támogatás a programba lépéskor</w:t>
      </w:r>
      <w:r w:rsidR="00332FE4">
        <w:rPr>
          <w:rFonts w:ascii="Arial" w:hAnsi="Arial" w:cs="Arial"/>
          <w:sz w:val="20"/>
          <w:szCs w:val="20"/>
        </w:rPr>
        <w:t xml:space="preserve"> alacsony iskolázottságú (legfeljebb 7-8 osztály)</w:t>
      </w:r>
      <w:r w:rsidRPr="007C7916">
        <w:rPr>
          <w:rFonts w:ascii="Arial" w:hAnsi="Arial" w:cs="Arial"/>
          <w:sz w:val="20"/>
          <w:szCs w:val="20"/>
        </w:rPr>
        <w:t xml:space="preserve"> fiata</w:t>
      </w:r>
      <w:r w:rsidR="00332FE4">
        <w:rPr>
          <w:rFonts w:ascii="Arial" w:hAnsi="Arial" w:cs="Arial"/>
          <w:sz w:val="20"/>
          <w:szCs w:val="20"/>
        </w:rPr>
        <w:t xml:space="preserve">lok elhelyezkedéséhez nyújtható. </w:t>
      </w:r>
      <w:r w:rsidRPr="007C7916">
        <w:rPr>
          <w:rFonts w:ascii="Arial" w:hAnsi="Arial" w:cs="Arial"/>
          <w:sz w:val="20"/>
          <w:szCs w:val="20"/>
        </w:rPr>
        <w:t xml:space="preserve">A támogatás legfeljebb 10 hónapig a munkabér és a ténylegesen fizetendő szociális hozzájárulási adó 100 százaléka, legfeljebb a minimálbér másfélszereséig és annak szociális hozzájárulási adója erejéig, valamint a támogatási időszak felével megegyező továbbfoglalkoztatási kötelezettség mellett adható. </w:t>
      </w:r>
    </w:p>
    <w:p w:rsidR="00826FFF" w:rsidRPr="007C7916" w:rsidRDefault="00826FFF" w:rsidP="00826FFF">
      <w:pPr>
        <w:jc w:val="both"/>
        <w:rPr>
          <w:rFonts w:ascii="Arial" w:hAnsi="Arial" w:cs="Arial"/>
          <w:sz w:val="20"/>
          <w:szCs w:val="20"/>
        </w:rPr>
      </w:pPr>
      <w:r w:rsidRPr="007C7916">
        <w:rPr>
          <w:rFonts w:ascii="Arial" w:hAnsi="Arial" w:cs="Arial"/>
          <w:sz w:val="20"/>
          <w:szCs w:val="20"/>
        </w:rPr>
        <w:t>Szükséges, hogy a munkavállaló felvétele a támogatás kezdő időpontját megelőző 6 havi átlagos statisztikai létszámhoz viszonyítva a munkavállalói létszám növekedését eredményezze.</w:t>
      </w:r>
    </w:p>
    <w:p w:rsidR="00826FFF" w:rsidRPr="007C7916" w:rsidRDefault="00826FFF" w:rsidP="00826FFF">
      <w:pPr>
        <w:pStyle w:val="Listaszerbekezds"/>
        <w:numPr>
          <w:ilvl w:val="0"/>
          <w:numId w:val="9"/>
        </w:numPr>
        <w:rPr>
          <w:rFonts w:ascii="Arial" w:hAnsi="Arial" w:cs="Arial"/>
          <w:b/>
          <w:sz w:val="20"/>
          <w:szCs w:val="20"/>
        </w:rPr>
      </w:pPr>
      <w:r w:rsidRPr="007C7916">
        <w:rPr>
          <w:rFonts w:ascii="Arial" w:hAnsi="Arial" w:cs="Arial"/>
          <w:b/>
          <w:sz w:val="20"/>
          <w:szCs w:val="20"/>
        </w:rPr>
        <w:lastRenderedPageBreak/>
        <w:t xml:space="preserve"> „legfeljebb 6+3 havi”konstrukció:</w:t>
      </w:r>
    </w:p>
    <w:p w:rsidR="00826FFF" w:rsidRPr="007C7916" w:rsidRDefault="00826FFF" w:rsidP="00826FFF">
      <w:pPr>
        <w:jc w:val="both"/>
        <w:rPr>
          <w:rFonts w:ascii="Arial" w:hAnsi="Arial" w:cs="Arial"/>
          <w:sz w:val="20"/>
          <w:szCs w:val="20"/>
        </w:rPr>
      </w:pPr>
      <w:r w:rsidRPr="007C7916">
        <w:rPr>
          <w:rFonts w:ascii="Arial" w:hAnsi="Arial" w:cs="Arial"/>
          <w:sz w:val="20"/>
          <w:szCs w:val="20"/>
        </w:rPr>
        <w:t>A támogatás a nem alacsony iskolázottságú fiatalok ese</w:t>
      </w:r>
      <w:r w:rsidR="00332FE4">
        <w:rPr>
          <w:rFonts w:ascii="Arial" w:hAnsi="Arial" w:cs="Arial"/>
          <w:sz w:val="20"/>
          <w:szCs w:val="20"/>
        </w:rPr>
        <w:t>tében nyújtható.</w:t>
      </w:r>
      <w:r w:rsidRPr="007C7916">
        <w:rPr>
          <w:rFonts w:ascii="Arial" w:hAnsi="Arial" w:cs="Arial"/>
          <w:sz w:val="20"/>
          <w:szCs w:val="20"/>
        </w:rPr>
        <w:t xml:space="preserve"> A támogatás legfeljebb 6 hónapig a munkabér és a ténylegesen fizetendő szociális hozzájárulási adó 100 százaléka, legfeljebb a minimálbér másfélszereséig és annak szociális hozzájárulási adója erejéig, valamint a támogatási időszak felével megegyező továbbfoglalkoztatási kötelezettség mellett adható. </w:t>
      </w:r>
    </w:p>
    <w:p w:rsidR="00826FFF" w:rsidRPr="007C7916" w:rsidRDefault="00826FFF" w:rsidP="00826FFF">
      <w:pPr>
        <w:jc w:val="both"/>
        <w:rPr>
          <w:rFonts w:ascii="Arial" w:hAnsi="Arial" w:cs="Arial"/>
          <w:sz w:val="20"/>
          <w:szCs w:val="20"/>
        </w:rPr>
      </w:pPr>
      <w:r w:rsidRPr="007C7916">
        <w:rPr>
          <w:rFonts w:ascii="Arial" w:hAnsi="Arial" w:cs="Arial"/>
          <w:sz w:val="20"/>
          <w:szCs w:val="20"/>
        </w:rPr>
        <w:t>Szükséges, hogy a munkavállaló felvétele a támogatás kezdő időpontját megelőző 6 havi átlagos statisztikai létszámhoz viszonyítva a munkavállalói létszám növekedését eredményezze.</w:t>
      </w:r>
    </w:p>
    <w:p w:rsidR="00826FFF" w:rsidRPr="007C7916" w:rsidRDefault="00826FFF" w:rsidP="00826FFF">
      <w:pPr>
        <w:spacing w:after="0"/>
        <w:jc w:val="both"/>
        <w:rPr>
          <w:rFonts w:ascii="Arial" w:hAnsi="Arial" w:cs="Arial"/>
          <w:sz w:val="20"/>
          <w:szCs w:val="20"/>
        </w:rPr>
      </w:pPr>
    </w:p>
    <w:p w:rsidR="00826FFF" w:rsidRPr="007C7916" w:rsidRDefault="00826FFF" w:rsidP="00826FFF">
      <w:pPr>
        <w:pStyle w:val="Listaszerbekezds"/>
        <w:numPr>
          <w:ilvl w:val="0"/>
          <w:numId w:val="4"/>
        </w:numPr>
        <w:spacing w:after="0"/>
        <w:jc w:val="both"/>
        <w:rPr>
          <w:rFonts w:ascii="Arial" w:hAnsi="Arial" w:cs="Arial"/>
          <w:b/>
          <w:sz w:val="20"/>
          <w:szCs w:val="20"/>
        </w:rPr>
      </w:pPr>
      <w:r w:rsidRPr="007C7916">
        <w:rPr>
          <w:rFonts w:ascii="Arial" w:hAnsi="Arial" w:cs="Arial"/>
          <w:b/>
          <w:sz w:val="20"/>
          <w:szCs w:val="20"/>
        </w:rPr>
        <w:t>Munkába járáshoz kapcsolódó helyközi utazás költségeinek megtérítése</w:t>
      </w:r>
    </w:p>
    <w:p w:rsidR="00826FFF" w:rsidRPr="007C7916" w:rsidRDefault="00826FFF" w:rsidP="00826FFF">
      <w:pPr>
        <w:jc w:val="both"/>
        <w:rPr>
          <w:rFonts w:ascii="Arial" w:hAnsi="Arial" w:cs="Arial"/>
          <w:sz w:val="20"/>
          <w:szCs w:val="20"/>
        </w:rPr>
      </w:pPr>
      <w:r w:rsidRPr="007C7916">
        <w:rPr>
          <w:rFonts w:ascii="Arial" w:hAnsi="Arial" w:cs="Arial"/>
          <w:sz w:val="20"/>
          <w:szCs w:val="20"/>
        </w:rPr>
        <w:t xml:space="preserve">A programrésztvevő és </w:t>
      </w:r>
      <w:r w:rsidRPr="00332FE4">
        <w:rPr>
          <w:rFonts w:ascii="Arial" w:hAnsi="Arial" w:cs="Arial"/>
          <w:sz w:val="20"/>
          <w:szCs w:val="20"/>
        </w:rPr>
        <w:t>az őt támogatással foglalkoztató munkaadó részére a támogatott foglalkoztatás teljes időtartama alatt egészben, vagy részben megtéríthető a munkába járással kapcsolatos helyközi utazás költsége, amennyiben a lakóhelye/tartózkodási helye és a foglalkoztatás helyszíne között tömegközlekedési eszközt vesz igénybe. A munkaadó részére megtéríthető továbbá a kifizetett saját gépjárművel történő munkába járás költsége</w:t>
      </w:r>
      <w:r w:rsidRPr="007C7916">
        <w:rPr>
          <w:rFonts w:ascii="Arial" w:hAnsi="Arial" w:cs="Arial"/>
          <w:sz w:val="20"/>
          <w:szCs w:val="20"/>
        </w:rPr>
        <w:t>.</w:t>
      </w:r>
    </w:p>
    <w:p w:rsidR="00826FFF" w:rsidRPr="007C7916" w:rsidRDefault="00826FFF" w:rsidP="00826FFF">
      <w:pPr>
        <w:pStyle w:val="Listaszerbekezds"/>
        <w:numPr>
          <w:ilvl w:val="0"/>
          <w:numId w:val="4"/>
        </w:numPr>
        <w:jc w:val="both"/>
        <w:rPr>
          <w:rFonts w:ascii="Arial" w:hAnsi="Arial" w:cs="Arial"/>
          <w:b/>
          <w:sz w:val="20"/>
          <w:szCs w:val="20"/>
        </w:rPr>
      </w:pPr>
      <w:r w:rsidRPr="007C7916">
        <w:rPr>
          <w:rFonts w:ascii="Arial" w:hAnsi="Arial" w:cs="Arial"/>
          <w:b/>
          <w:sz w:val="20"/>
          <w:szCs w:val="20"/>
        </w:rPr>
        <w:t>Munkába járáshoz kapcsolódó csoportos utazás költségeinek megtérítése</w:t>
      </w:r>
    </w:p>
    <w:p w:rsidR="00826FFF" w:rsidRPr="007C7916" w:rsidRDefault="00826FFF" w:rsidP="00826FFF">
      <w:pPr>
        <w:pStyle w:val="Listaszerbekezds"/>
        <w:ind w:left="360"/>
        <w:jc w:val="both"/>
        <w:rPr>
          <w:rFonts w:ascii="Arial" w:hAnsi="Arial" w:cs="Arial"/>
          <w:b/>
          <w:sz w:val="20"/>
          <w:szCs w:val="20"/>
        </w:rPr>
      </w:pPr>
    </w:p>
    <w:p w:rsidR="00826FFF" w:rsidRPr="007C7916" w:rsidRDefault="00826FFF" w:rsidP="00826FFF">
      <w:pPr>
        <w:pStyle w:val="Listaszerbekezds"/>
        <w:numPr>
          <w:ilvl w:val="0"/>
          <w:numId w:val="4"/>
        </w:numPr>
        <w:jc w:val="both"/>
        <w:rPr>
          <w:rFonts w:ascii="Arial" w:hAnsi="Arial" w:cs="Arial"/>
          <w:b/>
          <w:sz w:val="20"/>
          <w:szCs w:val="20"/>
        </w:rPr>
      </w:pPr>
      <w:r w:rsidRPr="007C7916">
        <w:rPr>
          <w:rFonts w:ascii="Arial" w:hAnsi="Arial" w:cs="Arial"/>
          <w:b/>
          <w:sz w:val="20"/>
          <w:szCs w:val="20"/>
        </w:rPr>
        <w:t>Lakhatási támogatás</w:t>
      </w:r>
    </w:p>
    <w:p w:rsidR="00826FFF" w:rsidRPr="007C7916" w:rsidRDefault="00826FFF" w:rsidP="00826FFF">
      <w:pPr>
        <w:tabs>
          <w:tab w:val="num" w:pos="400"/>
        </w:tabs>
        <w:spacing w:before="120" w:after="120" w:line="240" w:lineRule="auto"/>
        <w:jc w:val="both"/>
        <w:outlineLvl w:val="0"/>
        <w:rPr>
          <w:rFonts w:ascii="Arial" w:hAnsi="Arial" w:cs="Arial"/>
          <w:sz w:val="20"/>
          <w:szCs w:val="20"/>
        </w:rPr>
      </w:pPr>
      <w:r w:rsidRPr="007C7916">
        <w:rPr>
          <w:rFonts w:ascii="Arial" w:hAnsi="Arial" w:cs="Arial"/>
          <w:sz w:val="20"/>
          <w:szCs w:val="20"/>
        </w:rPr>
        <w:t xml:space="preserve">A támogatás a lakóhelyétől távol munkát vállaló ügyfél részére adható: </w:t>
      </w:r>
    </w:p>
    <w:p w:rsidR="00826FFF" w:rsidRPr="007C7916" w:rsidRDefault="00826FFF" w:rsidP="00826FFF">
      <w:pPr>
        <w:widowControl w:val="0"/>
        <w:numPr>
          <w:ilvl w:val="0"/>
          <w:numId w:val="7"/>
        </w:numPr>
        <w:tabs>
          <w:tab w:val="num" w:pos="227"/>
        </w:tabs>
        <w:autoSpaceDE w:val="0"/>
        <w:autoSpaceDN w:val="0"/>
        <w:adjustRightInd w:val="0"/>
        <w:spacing w:after="0" w:line="240" w:lineRule="auto"/>
        <w:ind w:left="454"/>
        <w:jc w:val="both"/>
        <w:rPr>
          <w:rFonts w:ascii="Arial" w:hAnsi="Arial" w:cs="Arial"/>
          <w:bCs/>
          <w:sz w:val="20"/>
          <w:szCs w:val="20"/>
        </w:rPr>
      </w:pPr>
      <w:r w:rsidRPr="007C7916">
        <w:rPr>
          <w:rFonts w:ascii="Arial" w:hAnsi="Arial" w:cs="Arial"/>
          <w:bCs/>
          <w:sz w:val="20"/>
          <w:szCs w:val="20"/>
        </w:rPr>
        <w:t>aki olyan legalább hat hónap időtartamra szóló és legalább heti 20 óra munkaidejű munkaviszonyt létesít, amely esetében az állandó lakóhelye és a munkavégzés helye legalább 100 km-re van egymástól, vagy a munkavégzés helye és az állandó lakóhelye között</w:t>
      </w:r>
      <w:r w:rsidRPr="007C7916">
        <w:rPr>
          <w:rFonts w:ascii="Arial" w:hAnsi="Arial" w:cs="Arial"/>
          <w:sz w:val="20"/>
          <w:szCs w:val="20"/>
        </w:rPr>
        <w:t xml:space="preserve"> naponta </w:t>
      </w:r>
      <w:r w:rsidR="00310E33">
        <w:rPr>
          <w:rFonts w:ascii="Arial" w:hAnsi="Arial" w:cs="Arial"/>
          <w:sz w:val="20"/>
          <w:szCs w:val="20"/>
        </w:rPr>
        <w:t>-</w:t>
      </w:r>
      <w:r w:rsidRPr="007C7916">
        <w:rPr>
          <w:rFonts w:ascii="Arial" w:hAnsi="Arial" w:cs="Arial"/>
          <w:sz w:val="20"/>
          <w:szCs w:val="20"/>
        </w:rPr>
        <w:t xml:space="preserve"> tömegközl</w:t>
      </w:r>
      <w:r w:rsidR="00310E33">
        <w:rPr>
          <w:rFonts w:ascii="Arial" w:hAnsi="Arial" w:cs="Arial"/>
          <w:sz w:val="20"/>
          <w:szCs w:val="20"/>
        </w:rPr>
        <w:t>ekedési eszközzel - történő oda-</w:t>
      </w:r>
      <w:r w:rsidRPr="007C7916">
        <w:rPr>
          <w:rFonts w:ascii="Arial" w:hAnsi="Arial" w:cs="Arial"/>
          <w:sz w:val="20"/>
          <w:szCs w:val="20"/>
        </w:rPr>
        <w:t xml:space="preserve"> és visszautazás ideje az öt órát</w:t>
      </w:r>
      <w:r w:rsidRPr="007C7916">
        <w:rPr>
          <w:rFonts w:ascii="Arial" w:hAnsi="Arial" w:cs="Arial"/>
          <w:bCs/>
          <w:sz w:val="20"/>
          <w:szCs w:val="20"/>
        </w:rPr>
        <w:t xml:space="preserve"> meghaladja, és</w:t>
      </w:r>
    </w:p>
    <w:p w:rsidR="00826FFF" w:rsidRPr="007C7916" w:rsidRDefault="00826FFF" w:rsidP="00826FFF">
      <w:pPr>
        <w:widowControl w:val="0"/>
        <w:numPr>
          <w:ilvl w:val="0"/>
          <w:numId w:val="7"/>
        </w:numPr>
        <w:tabs>
          <w:tab w:val="num" w:pos="227"/>
        </w:tabs>
        <w:autoSpaceDE w:val="0"/>
        <w:autoSpaceDN w:val="0"/>
        <w:adjustRightInd w:val="0"/>
        <w:spacing w:after="0" w:line="240" w:lineRule="auto"/>
        <w:ind w:left="454"/>
        <w:jc w:val="both"/>
        <w:rPr>
          <w:rFonts w:ascii="Arial" w:hAnsi="Arial" w:cs="Arial"/>
          <w:bCs/>
          <w:sz w:val="20"/>
          <w:szCs w:val="20"/>
        </w:rPr>
      </w:pPr>
      <w:r w:rsidRPr="007C7916">
        <w:rPr>
          <w:rFonts w:ascii="Arial" w:hAnsi="Arial" w:cs="Arial"/>
          <w:bCs/>
          <w:sz w:val="20"/>
          <w:szCs w:val="20"/>
        </w:rPr>
        <w:t>aki nem rendelkezik saját tulajdonában vagy a vele együtt élő házastárssal közös tulajdonban lévő lakás céljára szolgáló, beköltözésre alkalmas ingatlannal a munkavégzés helyén, valamint olyan településen, amelynek a munkavégzés helyétől való távolsága nem éri el a 100 km-t, vagy amelytől a munkavégzési helyéig, tömegközlekedési eszközzel történő oda- és visszautazás ideje nem éri el az öt órát, és</w:t>
      </w:r>
    </w:p>
    <w:p w:rsidR="00826FFF" w:rsidRPr="007C7916" w:rsidRDefault="00826FFF" w:rsidP="00826FFF">
      <w:pPr>
        <w:widowControl w:val="0"/>
        <w:numPr>
          <w:ilvl w:val="0"/>
          <w:numId w:val="7"/>
        </w:numPr>
        <w:tabs>
          <w:tab w:val="num" w:pos="227"/>
        </w:tabs>
        <w:autoSpaceDE w:val="0"/>
        <w:autoSpaceDN w:val="0"/>
        <w:adjustRightInd w:val="0"/>
        <w:spacing w:after="0" w:line="240" w:lineRule="auto"/>
        <w:ind w:left="454"/>
        <w:jc w:val="both"/>
        <w:rPr>
          <w:rFonts w:ascii="Arial" w:hAnsi="Arial" w:cs="Arial"/>
          <w:bCs/>
          <w:sz w:val="20"/>
          <w:szCs w:val="20"/>
        </w:rPr>
      </w:pPr>
      <w:bookmarkStart w:id="1" w:name="md"/>
      <w:r w:rsidRPr="007C7916">
        <w:rPr>
          <w:rFonts w:ascii="Arial" w:hAnsi="Arial" w:cs="Arial"/>
          <w:bCs/>
          <w:sz w:val="20"/>
          <w:szCs w:val="20"/>
        </w:rPr>
        <w:t>aki más foglalkoztatóval létesít munkaviszonyt</w:t>
      </w:r>
      <w:r w:rsidR="00BA0278">
        <w:rPr>
          <w:rFonts w:ascii="Arial" w:hAnsi="Arial" w:cs="Arial"/>
          <w:bCs/>
          <w:sz w:val="20"/>
          <w:szCs w:val="20"/>
        </w:rPr>
        <w:t>,</w:t>
      </w:r>
      <w:r w:rsidRPr="007C7916">
        <w:rPr>
          <w:rFonts w:ascii="Arial" w:hAnsi="Arial" w:cs="Arial"/>
          <w:bCs/>
          <w:sz w:val="20"/>
          <w:szCs w:val="20"/>
        </w:rPr>
        <w:t xml:space="preserve"> mint akivel utoljára munkaviszonyban állt, kivéve, ha a létesítendő munkaviszonyban a munkavégzés helye eltér az utolsó munkaviszony munkavégzési helyétől, és</w:t>
      </w:r>
    </w:p>
    <w:p w:rsidR="00826FFF" w:rsidRPr="007C7916" w:rsidRDefault="00826FFF" w:rsidP="00826FFF">
      <w:pPr>
        <w:widowControl w:val="0"/>
        <w:numPr>
          <w:ilvl w:val="0"/>
          <w:numId w:val="7"/>
        </w:numPr>
        <w:tabs>
          <w:tab w:val="num" w:pos="227"/>
        </w:tabs>
        <w:autoSpaceDE w:val="0"/>
        <w:autoSpaceDN w:val="0"/>
        <w:adjustRightInd w:val="0"/>
        <w:spacing w:after="0" w:line="240" w:lineRule="auto"/>
        <w:ind w:left="454"/>
        <w:jc w:val="both"/>
        <w:rPr>
          <w:rFonts w:ascii="Arial" w:hAnsi="Arial" w:cs="Arial"/>
          <w:bCs/>
          <w:sz w:val="20"/>
          <w:szCs w:val="20"/>
        </w:rPr>
      </w:pPr>
      <w:r w:rsidRPr="007C7916">
        <w:rPr>
          <w:rFonts w:ascii="Arial" w:hAnsi="Arial" w:cs="Arial"/>
          <w:bCs/>
          <w:sz w:val="20"/>
          <w:szCs w:val="20"/>
        </w:rPr>
        <w:t xml:space="preserve">lakhatását bérleti jogviszony létesítésével kívánja megoldani a munkavégzés helyén, vagy </w:t>
      </w:r>
      <w:bookmarkEnd w:id="1"/>
      <w:r w:rsidRPr="007C7916">
        <w:rPr>
          <w:rFonts w:ascii="Arial" w:hAnsi="Arial" w:cs="Arial"/>
          <w:bCs/>
          <w:sz w:val="20"/>
          <w:szCs w:val="20"/>
        </w:rPr>
        <w:t>olyan településen, amelynek a munkavégzés helyétől való távolsága nem éri el a 100 km-t, vagy amelytől a munkavégzési helyéig, tömegközlekedési eszközzel történő oda- és visszautazás ideje nem éri el az öt órát, és</w:t>
      </w:r>
    </w:p>
    <w:p w:rsidR="00826FFF" w:rsidRPr="007C7916" w:rsidRDefault="00826FFF" w:rsidP="00826FFF">
      <w:pPr>
        <w:widowControl w:val="0"/>
        <w:numPr>
          <w:ilvl w:val="0"/>
          <w:numId w:val="7"/>
        </w:numPr>
        <w:tabs>
          <w:tab w:val="num" w:pos="227"/>
        </w:tabs>
        <w:autoSpaceDE w:val="0"/>
        <w:autoSpaceDN w:val="0"/>
        <w:adjustRightInd w:val="0"/>
        <w:spacing w:after="0" w:line="240" w:lineRule="auto"/>
        <w:ind w:left="454"/>
        <w:jc w:val="both"/>
        <w:rPr>
          <w:rFonts w:ascii="Arial" w:hAnsi="Arial" w:cs="Arial"/>
          <w:bCs/>
          <w:sz w:val="20"/>
          <w:szCs w:val="20"/>
        </w:rPr>
      </w:pPr>
      <w:r w:rsidRPr="007C7916">
        <w:rPr>
          <w:rFonts w:ascii="Arial" w:hAnsi="Arial" w:cs="Arial"/>
          <w:bCs/>
          <w:sz w:val="20"/>
          <w:szCs w:val="20"/>
        </w:rPr>
        <w:t>aki nem részesül a kérelem időpontjában más jogcímen lakhatási vagy közüzemi támogatásban.</w:t>
      </w:r>
    </w:p>
    <w:p w:rsidR="00826FFF" w:rsidRPr="007C7916" w:rsidRDefault="00826FFF" w:rsidP="00826FFF">
      <w:pPr>
        <w:tabs>
          <w:tab w:val="num" w:pos="400"/>
        </w:tabs>
        <w:spacing w:before="120" w:after="120" w:line="240" w:lineRule="auto"/>
        <w:jc w:val="both"/>
        <w:outlineLvl w:val="0"/>
        <w:rPr>
          <w:rFonts w:ascii="Arial" w:hAnsi="Arial" w:cs="Arial"/>
          <w:sz w:val="20"/>
          <w:szCs w:val="20"/>
        </w:rPr>
      </w:pPr>
      <w:r w:rsidRPr="007C7916">
        <w:rPr>
          <w:rFonts w:ascii="Arial" w:hAnsi="Arial" w:cs="Arial"/>
          <w:sz w:val="20"/>
          <w:szCs w:val="20"/>
        </w:rPr>
        <w:t>Lakhatási támogatásban részesülhet, aki a projekt célcsoportjába beletartozik és:</w:t>
      </w:r>
    </w:p>
    <w:p w:rsidR="00826FFF" w:rsidRPr="007C7916" w:rsidRDefault="00826FFF" w:rsidP="00826FFF">
      <w:pPr>
        <w:widowControl w:val="0"/>
        <w:numPr>
          <w:ilvl w:val="0"/>
          <w:numId w:val="8"/>
        </w:numPr>
        <w:autoSpaceDE w:val="0"/>
        <w:autoSpaceDN w:val="0"/>
        <w:adjustRightInd w:val="0"/>
        <w:spacing w:after="0" w:line="240" w:lineRule="auto"/>
        <w:jc w:val="both"/>
        <w:rPr>
          <w:rFonts w:ascii="Arial" w:hAnsi="Arial" w:cs="Arial"/>
          <w:bCs/>
          <w:sz w:val="20"/>
          <w:szCs w:val="20"/>
        </w:rPr>
      </w:pPr>
      <w:r w:rsidRPr="007C7916">
        <w:rPr>
          <w:rFonts w:ascii="Arial" w:hAnsi="Arial" w:cs="Arial"/>
          <w:bCs/>
          <w:sz w:val="20"/>
          <w:szCs w:val="20"/>
        </w:rPr>
        <w:t xml:space="preserve">legalább egy hónapja álláskeresőként nyilvántartottak, vagy </w:t>
      </w:r>
    </w:p>
    <w:p w:rsidR="00826FFF" w:rsidRPr="007C7916" w:rsidRDefault="00826FFF" w:rsidP="00826FFF">
      <w:pPr>
        <w:widowControl w:val="0"/>
        <w:numPr>
          <w:ilvl w:val="0"/>
          <w:numId w:val="8"/>
        </w:numPr>
        <w:autoSpaceDE w:val="0"/>
        <w:autoSpaceDN w:val="0"/>
        <w:adjustRightInd w:val="0"/>
        <w:spacing w:after="0" w:line="240" w:lineRule="auto"/>
        <w:jc w:val="both"/>
        <w:rPr>
          <w:rFonts w:ascii="Arial" w:hAnsi="Arial" w:cs="Arial"/>
          <w:bCs/>
          <w:sz w:val="20"/>
          <w:szCs w:val="20"/>
        </w:rPr>
      </w:pPr>
      <w:r w:rsidRPr="007C7916">
        <w:rPr>
          <w:rFonts w:ascii="Arial" w:hAnsi="Arial" w:cs="Arial"/>
          <w:bCs/>
          <w:sz w:val="20"/>
          <w:szCs w:val="20"/>
        </w:rPr>
        <w:t>pályakezdő álláskeresőként nyilvántartottak, vagy</w:t>
      </w:r>
    </w:p>
    <w:p w:rsidR="00826FFF" w:rsidRPr="007C7916" w:rsidRDefault="00826FFF" w:rsidP="00826FFF">
      <w:pPr>
        <w:widowControl w:val="0"/>
        <w:numPr>
          <w:ilvl w:val="0"/>
          <w:numId w:val="8"/>
        </w:numPr>
        <w:autoSpaceDE w:val="0"/>
        <w:autoSpaceDN w:val="0"/>
        <w:adjustRightInd w:val="0"/>
        <w:spacing w:after="0" w:line="240" w:lineRule="auto"/>
        <w:jc w:val="both"/>
        <w:rPr>
          <w:rFonts w:ascii="Arial" w:hAnsi="Arial" w:cs="Arial"/>
          <w:bCs/>
          <w:sz w:val="20"/>
          <w:szCs w:val="20"/>
        </w:rPr>
      </w:pPr>
      <w:r w:rsidRPr="007C7916">
        <w:rPr>
          <w:rFonts w:ascii="Arial" w:hAnsi="Arial" w:cs="Arial"/>
          <w:bCs/>
          <w:sz w:val="20"/>
          <w:szCs w:val="20"/>
        </w:rPr>
        <w:t>csoportos létszámleépítésben érintett álláskeresőként nyilvántartottak, vagy</w:t>
      </w:r>
    </w:p>
    <w:p w:rsidR="00826FFF" w:rsidRPr="007C7916" w:rsidRDefault="00826FFF" w:rsidP="00826FFF">
      <w:pPr>
        <w:widowControl w:val="0"/>
        <w:numPr>
          <w:ilvl w:val="0"/>
          <w:numId w:val="8"/>
        </w:numPr>
        <w:autoSpaceDE w:val="0"/>
        <w:autoSpaceDN w:val="0"/>
        <w:adjustRightInd w:val="0"/>
        <w:spacing w:after="0" w:line="240" w:lineRule="auto"/>
        <w:jc w:val="both"/>
        <w:rPr>
          <w:rFonts w:ascii="Arial" w:hAnsi="Arial" w:cs="Arial"/>
          <w:bCs/>
          <w:sz w:val="20"/>
          <w:szCs w:val="20"/>
        </w:rPr>
      </w:pPr>
      <w:r w:rsidRPr="007C7916">
        <w:rPr>
          <w:rFonts w:ascii="Arial" w:hAnsi="Arial" w:cs="Arial"/>
          <w:bCs/>
          <w:sz w:val="20"/>
          <w:szCs w:val="20"/>
        </w:rPr>
        <w:t>közfoglalkoztatást követően álláskeresőként nyilvántartottak.</w:t>
      </w:r>
    </w:p>
    <w:p w:rsidR="00826FFF" w:rsidRPr="007C7916" w:rsidRDefault="00826FFF" w:rsidP="00826FFF">
      <w:pPr>
        <w:spacing w:before="240" w:after="240"/>
        <w:jc w:val="both"/>
        <w:outlineLvl w:val="0"/>
        <w:rPr>
          <w:rFonts w:ascii="Arial" w:hAnsi="Arial" w:cs="Arial"/>
          <w:sz w:val="20"/>
          <w:szCs w:val="20"/>
        </w:rPr>
      </w:pPr>
      <w:r w:rsidRPr="007C7916">
        <w:rPr>
          <w:rFonts w:ascii="Arial" w:hAnsi="Arial" w:cs="Arial"/>
          <w:sz w:val="20"/>
          <w:szCs w:val="20"/>
        </w:rPr>
        <w:t>Fontos, hogy az ügyfél egyéni programjának hossza, nem haladhatja meg a két évet, kivéve az egymásra épülő támo</w:t>
      </w:r>
      <w:r w:rsidR="00A00D63" w:rsidRPr="007C7916">
        <w:rPr>
          <w:rFonts w:ascii="Arial" w:hAnsi="Arial" w:cs="Arial"/>
          <w:sz w:val="20"/>
          <w:szCs w:val="20"/>
        </w:rPr>
        <w:t>gatási programelemmel érintett</w:t>
      </w:r>
      <w:r w:rsidRPr="007C7916">
        <w:rPr>
          <w:rFonts w:ascii="Arial" w:hAnsi="Arial" w:cs="Arial"/>
          <w:sz w:val="20"/>
          <w:szCs w:val="20"/>
        </w:rPr>
        <w:t xml:space="preserve"> eset</w:t>
      </w:r>
      <w:r w:rsidR="00A00D63" w:rsidRPr="007C7916">
        <w:rPr>
          <w:rFonts w:ascii="Arial" w:hAnsi="Arial" w:cs="Arial"/>
          <w:sz w:val="20"/>
          <w:szCs w:val="20"/>
        </w:rPr>
        <w:t>ekben</w:t>
      </w:r>
      <w:r w:rsidR="00BA0278">
        <w:rPr>
          <w:rFonts w:ascii="Arial" w:hAnsi="Arial" w:cs="Arial"/>
          <w:sz w:val="20"/>
          <w:szCs w:val="20"/>
        </w:rPr>
        <w:t>. A 2016. június 30-án lezárult</w:t>
      </w:r>
      <w:r w:rsidRPr="007C7916">
        <w:rPr>
          <w:rFonts w:ascii="Arial" w:hAnsi="Arial" w:cs="Arial"/>
          <w:sz w:val="20"/>
          <w:szCs w:val="20"/>
        </w:rPr>
        <w:t xml:space="preserve"> programba vonási időszakot követően az ügyfelek maximum 2017. december 31-ig tarthatók programban. </w:t>
      </w:r>
    </w:p>
    <w:p w:rsidR="0066384C" w:rsidRPr="007C7916" w:rsidRDefault="00826FFF" w:rsidP="0097169A">
      <w:pPr>
        <w:spacing w:before="240" w:after="240"/>
        <w:jc w:val="both"/>
        <w:outlineLvl w:val="0"/>
        <w:rPr>
          <w:rFonts w:ascii="Arial" w:hAnsi="Arial" w:cs="Arial"/>
          <w:sz w:val="20"/>
          <w:szCs w:val="20"/>
        </w:rPr>
      </w:pPr>
      <w:r w:rsidRPr="007C7916">
        <w:rPr>
          <w:rFonts w:ascii="Arial" w:hAnsi="Arial" w:cs="Arial"/>
          <w:sz w:val="20"/>
          <w:szCs w:val="20"/>
        </w:rPr>
        <w:t xml:space="preserve">Az ügyfelek programba vonása a lakóhely szerint illetékes </w:t>
      </w:r>
      <w:r w:rsidR="0097169A">
        <w:rPr>
          <w:rFonts w:ascii="Arial" w:hAnsi="Arial" w:cs="Arial"/>
          <w:sz w:val="20"/>
          <w:szCs w:val="20"/>
        </w:rPr>
        <w:t>j</w:t>
      </w:r>
      <w:r w:rsidRPr="007C7916">
        <w:rPr>
          <w:rFonts w:ascii="Arial" w:hAnsi="Arial" w:cs="Arial"/>
          <w:sz w:val="20"/>
          <w:szCs w:val="20"/>
        </w:rPr>
        <w:t xml:space="preserve">árási </w:t>
      </w:r>
      <w:r w:rsidR="0097169A">
        <w:rPr>
          <w:rFonts w:ascii="Arial" w:hAnsi="Arial" w:cs="Arial"/>
          <w:sz w:val="20"/>
          <w:szCs w:val="20"/>
        </w:rPr>
        <w:t>hivatalok</w:t>
      </w:r>
      <w:r w:rsidR="00973C9B">
        <w:rPr>
          <w:rFonts w:ascii="Arial" w:hAnsi="Arial" w:cs="Arial"/>
          <w:sz w:val="20"/>
          <w:szCs w:val="20"/>
        </w:rPr>
        <w:t xml:space="preserve"> foglalkoztatási osztályán</w:t>
      </w:r>
      <w:r w:rsidRPr="007C7916">
        <w:rPr>
          <w:rFonts w:ascii="Arial" w:hAnsi="Arial" w:cs="Arial"/>
          <w:sz w:val="20"/>
          <w:szCs w:val="20"/>
        </w:rPr>
        <w:t xml:space="preserve"> történik. Az érdeklődőknek a programról és az igényelhető támogatásokról a </w:t>
      </w:r>
      <w:r w:rsidR="0097169A">
        <w:rPr>
          <w:rFonts w:ascii="Arial" w:hAnsi="Arial" w:cs="Arial"/>
          <w:sz w:val="20"/>
          <w:szCs w:val="20"/>
        </w:rPr>
        <w:t>hivatal</w:t>
      </w:r>
      <w:r w:rsidRPr="007C7916">
        <w:rPr>
          <w:rFonts w:ascii="Arial" w:hAnsi="Arial" w:cs="Arial"/>
          <w:sz w:val="20"/>
          <w:szCs w:val="20"/>
        </w:rPr>
        <w:t xml:space="preserve"> munkatárs</w:t>
      </w:r>
      <w:r w:rsidR="0097169A">
        <w:rPr>
          <w:rFonts w:ascii="Arial" w:hAnsi="Arial" w:cs="Arial"/>
          <w:sz w:val="20"/>
          <w:szCs w:val="20"/>
        </w:rPr>
        <w:t>ai</w:t>
      </w:r>
      <w:r w:rsidRPr="007C7916">
        <w:rPr>
          <w:rFonts w:ascii="Arial" w:hAnsi="Arial" w:cs="Arial"/>
          <w:sz w:val="20"/>
          <w:szCs w:val="20"/>
        </w:rPr>
        <w:t xml:space="preserve"> adnak részletes tájékoztatást. A</w:t>
      </w:r>
      <w:r w:rsidR="00816730">
        <w:rPr>
          <w:rFonts w:ascii="Arial" w:hAnsi="Arial" w:cs="Arial"/>
          <w:sz w:val="20"/>
          <w:szCs w:val="20"/>
        </w:rPr>
        <w:t xml:space="preserve"> Borsod-Abaúj-</w:t>
      </w:r>
      <w:r w:rsidR="0097169A">
        <w:rPr>
          <w:rFonts w:ascii="Arial" w:hAnsi="Arial" w:cs="Arial"/>
          <w:sz w:val="20"/>
          <w:szCs w:val="20"/>
        </w:rPr>
        <w:t>Zemplén Megyei Kormányhivatal</w:t>
      </w:r>
      <w:r w:rsidRPr="007C7916">
        <w:rPr>
          <w:rFonts w:ascii="Arial" w:hAnsi="Arial" w:cs="Arial"/>
          <w:sz w:val="20"/>
          <w:szCs w:val="20"/>
        </w:rPr>
        <w:t xml:space="preserve"> </w:t>
      </w:r>
      <w:r w:rsidR="0097169A">
        <w:rPr>
          <w:rFonts w:ascii="Arial" w:hAnsi="Arial" w:cs="Arial"/>
          <w:sz w:val="20"/>
          <w:szCs w:val="20"/>
        </w:rPr>
        <w:t>járási hivatalainak</w:t>
      </w:r>
      <w:r w:rsidRPr="007C7916">
        <w:rPr>
          <w:rFonts w:ascii="Arial" w:hAnsi="Arial" w:cs="Arial"/>
          <w:sz w:val="20"/>
          <w:szCs w:val="20"/>
        </w:rPr>
        <w:t xml:space="preserve"> címlistája és elérhetőségei megtalálhatók az alábbi honlapokon: </w:t>
      </w:r>
      <w:hyperlink r:id="rId8" w:history="1">
        <w:r w:rsidRPr="007C7916">
          <w:rPr>
            <w:rStyle w:val="Hiperhivatkozs"/>
            <w:rFonts w:ascii="Arial" w:hAnsi="Arial" w:cs="Arial"/>
            <w:color w:val="auto"/>
            <w:sz w:val="20"/>
            <w:szCs w:val="20"/>
          </w:rPr>
          <w:t>www.kormanyhivatal.hu</w:t>
        </w:r>
      </w:hyperlink>
      <w:r w:rsidRPr="007C7916">
        <w:rPr>
          <w:rFonts w:ascii="Arial" w:hAnsi="Arial" w:cs="Arial"/>
          <w:sz w:val="20"/>
          <w:szCs w:val="20"/>
        </w:rPr>
        <w:t xml:space="preserve">; </w:t>
      </w:r>
      <w:hyperlink r:id="rId9" w:tooltip="http://borsod-abauj-zemplen.munka.hu/" w:history="1">
        <w:r w:rsidRPr="007C7916">
          <w:rPr>
            <w:rStyle w:val="Hiperhivatkozs"/>
            <w:rFonts w:ascii="Arial" w:hAnsi="Arial" w:cs="Arial"/>
            <w:color w:val="auto"/>
            <w:sz w:val="20"/>
            <w:szCs w:val="20"/>
          </w:rPr>
          <w:t>http://borsod-abauj-zemplen.munka.hu</w:t>
        </w:r>
      </w:hyperlink>
    </w:p>
    <w:sectPr w:rsidR="0066384C" w:rsidRPr="007C7916" w:rsidSect="00514EF2">
      <w:footerReference w:type="default" r:id="rId10"/>
      <w:headerReference w:type="first" r:id="rId11"/>
      <w:footerReference w:type="first" r:id="rId12"/>
      <w:pgSz w:w="11906" w:h="16838" w:code="9"/>
      <w:pgMar w:top="1121" w:right="1106" w:bottom="1418" w:left="1418" w:header="70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37D" w:rsidRDefault="0092137D" w:rsidP="000223D3">
      <w:pPr>
        <w:spacing w:after="0" w:line="240" w:lineRule="auto"/>
      </w:pPr>
      <w:r>
        <w:separator/>
      </w:r>
    </w:p>
  </w:endnote>
  <w:endnote w:type="continuationSeparator" w:id="0">
    <w:p w:rsidR="0092137D" w:rsidRDefault="0092137D" w:rsidP="00022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412523"/>
      <w:docPartObj>
        <w:docPartGallery w:val="Page Numbers (Bottom of Page)"/>
        <w:docPartUnique/>
      </w:docPartObj>
    </w:sdtPr>
    <w:sdtEndPr/>
    <w:sdtContent>
      <w:p w:rsidR="00AE702F" w:rsidRDefault="00AE702F">
        <w:pPr>
          <w:pStyle w:val="llb"/>
          <w:jc w:val="center"/>
        </w:pPr>
        <w:r>
          <w:fldChar w:fldCharType="begin"/>
        </w:r>
        <w:r>
          <w:instrText>PAGE   \* MERGEFORMAT</w:instrText>
        </w:r>
        <w:r>
          <w:fldChar w:fldCharType="separate"/>
        </w:r>
        <w:r w:rsidR="00795627">
          <w:rPr>
            <w:noProof/>
          </w:rPr>
          <w:t>3</w:t>
        </w:r>
        <w:r>
          <w:fldChar w:fldCharType="end"/>
        </w:r>
      </w:p>
    </w:sdtContent>
  </w:sdt>
  <w:p w:rsidR="00AE702F" w:rsidRDefault="00AE702F">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99D" w:rsidRDefault="003015A9" w:rsidP="00A8299D">
    <w:pPr>
      <w:pStyle w:val="Szvegtrz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072"/>
      </w:tabs>
      <w:spacing w:after="0"/>
      <w:rPr>
        <w:rFonts w:hAnsi="Arial"/>
      </w:rPr>
    </w:pPr>
    <w:r w:rsidRPr="001C7E27">
      <w:rPr>
        <w:i/>
        <w:noProof/>
        <w:sz w:val="18"/>
        <w:szCs w:val="18"/>
      </w:rPr>
      <w:drawing>
        <wp:anchor distT="0" distB="0" distL="114300" distR="114300" simplePos="0" relativeHeight="251658240" behindDoc="1" locked="0" layoutInCell="1" allowOverlap="1" wp14:anchorId="22BC082A" wp14:editId="2292017C">
          <wp:simplePos x="0" y="0"/>
          <wp:positionH relativeFrom="page">
            <wp:align>right</wp:align>
          </wp:positionH>
          <wp:positionV relativeFrom="paragraph">
            <wp:posOffset>-1195070</wp:posOffset>
          </wp:positionV>
          <wp:extent cx="3258000" cy="2250000"/>
          <wp:effectExtent l="0" t="0" r="0" b="0"/>
          <wp:wrapTight wrapText="bothSides">
            <wp:wrapPolygon edited="0">
              <wp:start x="0" y="0"/>
              <wp:lineTo x="0" y="21399"/>
              <wp:lineTo x="21474" y="21399"/>
              <wp:lineTo x="21474" y="0"/>
              <wp:lineTo x="0" y="0"/>
            </wp:wrapPolygon>
          </wp:wrapTight>
          <wp:docPr id="1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ÁMOP alsó logó.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58000" cy="2250000"/>
                  </a:xfrm>
                  <a:prstGeom prst="rect">
                    <a:avLst/>
                  </a:prstGeom>
                </pic:spPr>
              </pic:pic>
            </a:graphicData>
          </a:graphic>
          <wp14:sizeRelH relativeFrom="margin">
            <wp14:pctWidth>0</wp14:pctWidth>
          </wp14:sizeRelH>
          <wp14:sizeRelV relativeFrom="margin">
            <wp14:pctHeight>0</wp14:pctHeight>
          </wp14:sizeRelV>
        </wp:anchor>
      </w:drawing>
    </w:r>
  </w:p>
  <w:p w:rsidR="009429F9" w:rsidRPr="001C7E27" w:rsidRDefault="00A8299D" w:rsidP="00A8299D">
    <w:pPr>
      <w:pStyle w:val="Szvegtrz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072"/>
      </w:tabs>
      <w:spacing w:after="0"/>
      <w:rPr>
        <w:i/>
        <w:sz w:val="18"/>
        <w:szCs w:val="18"/>
      </w:rPr>
    </w:pPr>
    <w:r w:rsidRPr="001C7E27">
      <w:rPr>
        <w:i/>
        <w:noProof/>
        <w:sz w:val="18"/>
        <w:szCs w:val="18"/>
      </w:rPr>
      <w:drawing>
        <wp:anchor distT="0" distB="0" distL="114300" distR="114300" simplePos="0" relativeHeight="251660288" behindDoc="1" locked="0" layoutInCell="1" allowOverlap="1" wp14:anchorId="3EE5006C" wp14:editId="724E0A32">
          <wp:simplePos x="0" y="0"/>
          <wp:positionH relativeFrom="page">
            <wp:posOffset>7858125</wp:posOffset>
          </wp:positionH>
          <wp:positionV relativeFrom="paragraph">
            <wp:posOffset>-702945</wp:posOffset>
          </wp:positionV>
          <wp:extent cx="2840990" cy="1962150"/>
          <wp:effectExtent l="0" t="0" r="0" b="0"/>
          <wp:wrapNone/>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1962150"/>
                  </a:xfrm>
                  <a:prstGeom prst="rect">
                    <a:avLst/>
                  </a:prstGeom>
                  <a:noFill/>
                </pic:spPr>
              </pic:pic>
            </a:graphicData>
          </a:graphic>
          <wp14:sizeRelH relativeFrom="margin">
            <wp14:pctWidth>0</wp14:pctWidth>
          </wp14:sizeRelH>
          <wp14:sizeRelV relativeFrom="margin">
            <wp14:pctHeight>0</wp14:pctHeight>
          </wp14:sizeRelV>
        </wp:anchor>
      </w:drawing>
    </w:r>
    <w:r w:rsidRPr="001C7E27">
      <w:rPr>
        <w:rFonts w:hAnsi="Arial"/>
        <w:i/>
        <w:sz w:val="18"/>
        <w:szCs w:val="18"/>
      </w:rPr>
      <w:t>“</w:t>
    </w:r>
    <w:r w:rsidRPr="001C7E27">
      <w:rPr>
        <w:i/>
        <w:color w:val="000000"/>
        <w:sz w:val="18"/>
        <w:szCs w:val="18"/>
        <w:u w:color="000000"/>
      </w:rPr>
      <w:t xml:space="preserve">A projekt az </w:t>
    </w:r>
    <w:r w:rsidRPr="001C7E27">
      <w:rPr>
        <w:rFonts w:hAnsi="Arial"/>
        <w:i/>
        <w:color w:val="000000"/>
        <w:sz w:val="18"/>
        <w:szCs w:val="18"/>
        <w:u w:color="000000"/>
        <w:lang w:val="fr-FR"/>
      </w:rPr>
      <w:t>É</w:t>
    </w:r>
    <w:r w:rsidRPr="001C7E27">
      <w:rPr>
        <w:i/>
        <w:color w:val="000000"/>
        <w:sz w:val="18"/>
        <w:szCs w:val="18"/>
        <w:u w:color="000000"/>
      </w:rPr>
      <w:t>szak-magyarorsz</w:t>
    </w:r>
    <w:r w:rsidRPr="001C7E27">
      <w:rPr>
        <w:rFonts w:hAnsi="Arial"/>
        <w:i/>
        <w:color w:val="000000"/>
        <w:sz w:val="18"/>
        <w:szCs w:val="18"/>
        <w:u w:color="000000"/>
      </w:rPr>
      <w:t>á</w:t>
    </w:r>
    <w:r w:rsidRPr="001C7E27">
      <w:rPr>
        <w:i/>
        <w:color w:val="000000"/>
        <w:sz w:val="18"/>
        <w:szCs w:val="18"/>
        <w:u w:color="000000"/>
      </w:rPr>
      <w:t>gi, az</w:t>
    </w:r>
    <w:r w:rsidRPr="001C7E27">
      <w:rPr>
        <w:rFonts w:hAnsi="Arial"/>
        <w:i/>
        <w:color w:val="000000"/>
        <w:sz w:val="18"/>
        <w:szCs w:val="18"/>
        <w:u w:color="000000"/>
        <w:lang w:val="fr-FR"/>
      </w:rPr>
      <w:t> É</w:t>
    </w:r>
    <w:r w:rsidRPr="001C7E27">
      <w:rPr>
        <w:i/>
        <w:color w:val="000000"/>
        <w:sz w:val="18"/>
        <w:szCs w:val="18"/>
        <w:u w:color="000000"/>
      </w:rPr>
      <w:t>szak-alf</w:t>
    </w:r>
    <w:r w:rsidRPr="001C7E27">
      <w:rPr>
        <w:rFonts w:hAnsi="Arial"/>
        <w:i/>
        <w:color w:val="000000"/>
        <w:sz w:val="18"/>
        <w:szCs w:val="18"/>
        <w:u w:color="000000"/>
      </w:rPr>
      <w:t>ö</w:t>
    </w:r>
    <w:r w:rsidRPr="001C7E27">
      <w:rPr>
        <w:i/>
        <w:color w:val="000000"/>
        <w:sz w:val="18"/>
        <w:szCs w:val="18"/>
        <w:u w:color="000000"/>
      </w:rPr>
      <w:t>ldi, a D</w:t>
    </w:r>
    <w:r w:rsidRPr="001C7E27">
      <w:rPr>
        <w:rFonts w:hAnsi="Arial"/>
        <w:i/>
        <w:color w:val="000000"/>
        <w:sz w:val="18"/>
        <w:szCs w:val="18"/>
        <w:u w:color="000000"/>
      </w:rPr>
      <w:t>é</w:t>
    </w:r>
    <w:r w:rsidRPr="001C7E27">
      <w:rPr>
        <w:i/>
        <w:color w:val="000000"/>
        <w:sz w:val="18"/>
        <w:szCs w:val="18"/>
        <w:u w:color="000000"/>
      </w:rPr>
      <w:t>l-alf</w:t>
    </w:r>
    <w:r w:rsidRPr="001C7E27">
      <w:rPr>
        <w:rFonts w:hAnsi="Arial"/>
        <w:i/>
        <w:color w:val="000000"/>
        <w:sz w:val="18"/>
        <w:szCs w:val="18"/>
        <w:u w:color="000000"/>
      </w:rPr>
      <w:t>ö</w:t>
    </w:r>
    <w:r w:rsidRPr="001C7E27">
      <w:rPr>
        <w:i/>
        <w:color w:val="000000"/>
        <w:sz w:val="18"/>
        <w:szCs w:val="18"/>
        <w:u w:color="000000"/>
      </w:rPr>
      <w:t xml:space="preserve">ldi </w:t>
    </w:r>
    <w:r w:rsidRPr="001C7E27">
      <w:rPr>
        <w:rFonts w:hAnsi="Arial"/>
        <w:i/>
        <w:color w:val="000000"/>
        <w:sz w:val="18"/>
        <w:szCs w:val="18"/>
        <w:u w:color="000000"/>
      </w:rPr>
      <w:t>é</w:t>
    </w:r>
    <w:r w:rsidRPr="001C7E27">
      <w:rPr>
        <w:i/>
        <w:color w:val="000000"/>
        <w:sz w:val="18"/>
        <w:szCs w:val="18"/>
        <w:u w:color="000000"/>
      </w:rPr>
      <w:t xml:space="preserve">s a </w:t>
    </w:r>
    <w:proofErr w:type="spellStart"/>
    <w:r w:rsidRPr="001C7E27">
      <w:rPr>
        <w:i/>
        <w:color w:val="000000"/>
        <w:sz w:val="18"/>
        <w:szCs w:val="18"/>
        <w:u w:color="000000"/>
      </w:rPr>
      <w:t>D</w:t>
    </w:r>
    <w:r w:rsidRPr="001C7E27">
      <w:rPr>
        <w:rFonts w:hAnsi="Arial"/>
        <w:i/>
        <w:color w:val="000000"/>
        <w:sz w:val="18"/>
        <w:szCs w:val="18"/>
        <w:u w:color="000000"/>
      </w:rPr>
      <w:t>é</w:t>
    </w:r>
    <w:proofErr w:type="spellEnd"/>
    <w:r w:rsidRPr="001C7E27">
      <w:rPr>
        <w:i/>
        <w:color w:val="000000"/>
        <w:sz w:val="18"/>
        <w:szCs w:val="18"/>
        <w:u w:color="000000"/>
        <w:lang w:val="de-DE"/>
      </w:rPr>
      <w:t>l-</w:t>
    </w:r>
    <w:proofErr w:type="spellStart"/>
    <w:r w:rsidRPr="001C7E27">
      <w:rPr>
        <w:i/>
        <w:color w:val="000000"/>
        <w:sz w:val="18"/>
        <w:szCs w:val="18"/>
        <w:u w:color="000000"/>
        <w:lang w:val="de-DE"/>
      </w:rPr>
      <w:t>dun</w:t>
    </w:r>
    <w:r w:rsidRPr="001C7E27">
      <w:rPr>
        <w:rFonts w:hAnsi="Arial"/>
        <w:i/>
        <w:color w:val="000000"/>
        <w:sz w:val="18"/>
        <w:szCs w:val="18"/>
        <w:u w:color="000000"/>
      </w:rPr>
      <w:t>á</w:t>
    </w:r>
    <w:r w:rsidRPr="001C7E27">
      <w:rPr>
        <w:i/>
        <w:color w:val="000000"/>
        <w:sz w:val="18"/>
        <w:szCs w:val="18"/>
        <w:u w:color="000000"/>
      </w:rPr>
      <w:t>nt</w:t>
    </w:r>
    <w:r w:rsidRPr="001C7E27">
      <w:rPr>
        <w:rFonts w:hAnsi="Arial"/>
        <w:i/>
        <w:color w:val="000000"/>
        <w:sz w:val="18"/>
        <w:szCs w:val="18"/>
        <w:u w:color="000000"/>
      </w:rPr>
      <w:t>ú</w:t>
    </w:r>
    <w:r w:rsidRPr="001C7E27">
      <w:rPr>
        <w:i/>
        <w:color w:val="000000"/>
        <w:sz w:val="18"/>
        <w:szCs w:val="18"/>
        <w:u w:color="000000"/>
      </w:rPr>
      <w:t>li</w:t>
    </w:r>
    <w:proofErr w:type="spellEnd"/>
    <w:r w:rsidRPr="001C7E27">
      <w:rPr>
        <w:i/>
        <w:color w:val="000000"/>
        <w:sz w:val="18"/>
        <w:szCs w:val="18"/>
        <w:u w:color="000000"/>
      </w:rPr>
      <w:t xml:space="preserve"> r</w:t>
    </w:r>
    <w:r w:rsidRPr="001C7E27">
      <w:rPr>
        <w:rFonts w:hAnsi="Arial"/>
        <w:i/>
        <w:color w:val="000000"/>
        <w:sz w:val="18"/>
        <w:szCs w:val="18"/>
        <w:u w:color="000000"/>
      </w:rPr>
      <w:t>é</w:t>
    </w:r>
    <w:r w:rsidRPr="001C7E27">
      <w:rPr>
        <w:i/>
        <w:color w:val="000000"/>
        <w:sz w:val="18"/>
        <w:szCs w:val="18"/>
        <w:u w:color="000000"/>
      </w:rPr>
      <w:t>gi</w:t>
    </w:r>
    <w:r w:rsidRPr="001C7E27">
      <w:rPr>
        <w:rFonts w:hAnsi="Arial"/>
        <w:i/>
        <w:color w:val="000000"/>
        <w:sz w:val="18"/>
        <w:szCs w:val="18"/>
        <w:u w:color="000000"/>
      </w:rPr>
      <w:t>ó</w:t>
    </w:r>
    <w:r w:rsidRPr="001C7E27">
      <w:rPr>
        <w:i/>
        <w:color w:val="000000"/>
        <w:sz w:val="18"/>
        <w:szCs w:val="18"/>
        <w:u w:color="000000"/>
      </w:rPr>
      <w:t>kban az ifj</w:t>
    </w:r>
    <w:r w:rsidRPr="001C7E27">
      <w:rPr>
        <w:rFonts w:hAnsi="Arial"/>
        <w:i/>
        <w:color w:val="000000"/>
        <w:sz w:val="18"/>
        <w:szCs w:val="18"/>
        <w:u w:color="000000"/>
      </w:rPr>
      <w:t>ú</w:t>
    </w:r>
    <w:r w:rsidRPr="001C7E27">
      <w:rPr>
        <w:i/>
        <w:color w:val="000000"/>
        <w:sz w:val="18"/>
        <w:szCs w:val="18"/>
        <w:u w:color="000000"/>
      </w:rPr>
      <w:t>s</w:t>
    </w:r>
    <w:r w:rsidRPr="001C7E27">
      <w:rPr>
        <w:rFonts w:hAnsi="Arial"/>
        <w:i/>
        <w:color w:val="000000"/>
        <w:sz w:val="18"/>
        <w:szCs w:val="18"/>
        <w:u w:color="000000"/>
      </w:rPr>
      <w:t>á</w:t>
    </w:r>
    <w:r w:rsidRPr="001C7E27">
      <w:rPr>
        <w:i/>
        <w:color w:val="000000"/>
        <w:sz w:val="18"/>
        <w:szCs w:val="18"/>
        <w:u w:color="000000"/>
      </w:rPr>
      <w:t>gi foglalkoztat</w:t>
    </w:r>
    <w:r w:rsidRPr="001C7E27">
      <w:rPr>
        <w:rFonts w:hAnsi="Arial"/>
        <w:i/>
        <w:color w:val="000000"/>
        <w:sz w:val="18"/>
        <w:szCs w:val="18"/>
        <w:u w:color="000000"/>
      </w:rPr>
      <w:t>á</w:t>
    </w:r>
    <w:r w:rsidRPr="001C7E27">
      <w:rPr>
        <w:i/>
        <w:color w:val="000000"/>
        <w:sz w:val="18"/>
        <w:szCs w:val="18"/>
        <w:u w:color="000000"/>
      </w:rPr>
      <w:t>si kezdem</w:t>
    </w:r>
    <w:r w:rsidRPr="001C7E27">
      <w:rPr>
        <w:rFonts w:hAnsi="Arial"/>
        <w:i/>
        <w:color w:val="000000"/>
        <w:sz w:val="18"/>
        <w:szCs w:val="18"/>
        <w:u w:color="000000"/>
      </w:rPr>
      <w:t>é</w:t>
    </w:r>
    <w:r w:rsidRPr="001C7E27">
      <w:rPr>
        <w:i/>
        <w:color w:val="000000"/>
        <w:sz w:val="18"/>
        <w:szCs w:val="18"/>
        <w:u w:color="000000"/>
      </w:rPr>
      <w:t>nyez</w:t>
    </w:r>
    <w:r w:rsidRPr="001C7E27">
      <w:rPr>
        <w:rFonts w:hAnsi="Arial"/>
        <w:i/>
        <w:color w:val="000000"/>
        <w:sz w:val="18"/>
        <w:szCs w:val="18"/>
        <w:u w:color="000000"/>
      </w:rPr>
      <w:t>é</w:t>
    </w:r>
    <w:r w:rsidRPr="001C7E27">
      <w:rPr>
        <w:i/>
        <w:color w:val="000000"/>
        <w:sz w:val="18"/>
        <w:szCs w:val="18"/>
        <w:u w:color="000000"/>
      </w:rPr>
      <w:t>s keret</w:t>
    </w:r>
    <w:r w:rsidRPr="001C7E27">
      <w:rPr>
        <w:rFonts w:hAnsi="Arial"/>
        <w:i/>
        <w:color w:val="000000"/>
        <w:sz w:val="18"/>
        <w:szCs w:val="18"/>
        <w:u w:color="000000"/>
      </w:rPr>
      <w:t>é</w:t>
    </w:r>
    <w:r w:rsidRPr="001C7E27">
      <w:rPr>
        <w:i/>
        <w:color w:val="000000"/>
        <w:sz w:val="18"/>
        <w:szCs w:val="18"/>
        <w:u w:color="000000"/>
      </w:rPr>
      <w:t>ben, t</w:t>
    </w:r>
    <w:r w:rsidRPr="001C7E27">
      <w:rPr>
        <w:rFonts w:hAnsi="Arial"/>
        <w:i/>
        <w:color w:val="000000"/>
        <w:sz w:val="18"/>
        <w:szCs w:val="18"/>
        <w:u w:color="000000"/>
      </w:rPr>
      <w:t>á</w:t>
    </w:r>
    <w:r w:rsidRPr="001C7E27">
      <w:rPr>
        <w:i/>
        <w:color w:val="000000"/>
        <w:sz w:val="18"/>
        <w:szCs w:val="18"/>
        <w:u w:color="000000"/>
      </w:rPr>
      <w:t>mogat</w:t>
    </w:r>
    <w:r w:rsidRPr="001C7E27">
      <w:rPr>
        <w:rFonts w:hAnsi="Arial"/>
        <w:i/>
        <w:color w:val="000000"/>
        <w:sz w:val="18"/>
        <w:szCs w:val="18"/>
        <w:u w:color="000000"/>
      </w:rPr>
      <w:t>á</w:t>
    </w:r>
    <w:r w:rsidRPr="001C7E27">
      <w:rPr>
        <w:i/>
        <w:color w:val="000000"/>
        <w:sz w:val="18"/>
        <w:szCs w:val="18"/>
        <w:u w:color="000000"/>
      </w:rPr>
      <w:t>sban r</w:t>
    </w:r>
    <w:r w:rsidRPr="001C7E27">
      <w:rPr>
        <w:rFonts w:hAnsi="Arial"/>
        <w:i/>
        <w:color w:val="000000"/>
        <w:sz w:val="18"/>
        <w:szCs w:val="18"/>
        <w:u w:color="000000"/>
      </w:rPr>
      <w:t>é</w:t>
    </w:r>
    <w:r w:rsidRPr="001C7E27">
      <w:rPr>
        <w:i/>
        <w:color w:val="000000"/>
        <w:sz w:val="18"/>
        <w:szCs w:val="18"/>
        <w:u w:color="000000"/>
      </w:rPr>
      <w:t>szes</w:t>
    </w:r>
    <w:r w:rsidRPr="001C7E27">
      <w:rPr>
        <w:rFonts w:hAnsi="Arial"/>
        <w:i/>
        <w:color w:val="000000"/>
        <w:sz w:val="18"/>
        <w:szCs w:val="18"/>
        <w:u w:color="000000"/>
      </w:rPr>
      <w:t>ü</w:t>
    </w:r>
    <w:r w:rsidRPr="001C7E27">
      <w:rPr>
        <w:i/>
        <w:color w:val="000000"/>
        <w:sz w:val="18"/>
        <w:szCs w:val="18"/>
        <w:u w:color="000000"/>
      </w:rPr>
      <w:t>l.</w:t>
    </w:r>
    <w:r w:rsidRPr="001C7E27">
      <w:rPr>
        <w:rFonts w:hAnsi="Arial"/>
        <w:i/>
        <w:color w:val="000000"/>
        <w:sz w:val="18"/>
        <w:szCs w:val="18"/>
        <w:u w:color="00000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37D" w:rsidRDefault="0092137D" w:rsidP="000223D3">
      <w:pPr>
        <w:spacing w:after="0" w:line="240" w:lineRule="auto"/>
      </w:pPr>
      <w:r>
        <w:separator/>
      </w:r>
    </w:p>
  </w:footnote>
  <w:footnote w:type="continuationSeparator" w:id="0">
    <w:p w:rsidR="0092137D" w:rsidRDefault="0092137D" w:rsidP="000223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3AC" w:rsidRPr="00B213AC" w:rsidRDefault="008D36F1" w:rsidP="00514EF2">
    <w:pPr>
      <w:pStyle w:val="lfej"/>
      <w:jc w:val="right"/>
      <w:rPr>
        <w:rFonts w:ascii="Arial" w:hAnsi="Arial" w:cs="Arial"/>
        <w:b/>
        <w:sz w:val="20"/>
        <w:szCs w:val="20"/>
      </w:rPr>
    </w:pPr>
    <w:r>
      <w:rPr>
        <w:rFonts w:ascii="Arial" w:hAnsi="Arial" w:cs="Arial"/>
        <w:b/>
        <w:sz w:val="18"/>
        <w:szCs w:val="18"/>
      </w:rPr>
      <w:t>Ifjúsági Garancia GINOP-5.2.1-14-2015-00001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52A8"/>
    <w:multiLevelType w:val="hybridMultilevel"/>
    <w:tmpl w:val="EAB2454E"/>
    <w:lvl w:ilvl="0" w:tplc="CE4CF038">
      <w:start w:val="1"/>
      <w:numFmt w:val="bullet"/>
      <w:lvlText w:val=""/>
      <w:lvlJc w:val="left"/>
      <w:pPr>
        <w:tabs>
          <w:tab w:val="num" w:pos="720"/>
        </w:tabs>
        <w:ind w:left="720" w:hanging="360"/>
      </w:pPr>
      <w:rPr>
        <w:rFonts w:ascii="Symbol" w:hAnsi="Symbol" w:hint="default"/>
      </w:rPr>
    </w:lvl>
    <w:lvl w:ilvl="1" w:tplc="3C5AC3C0">
      <w:start w:val="1"/>
      <w:numFmt w:val="bullet"/>
      <w:lvlText w:val=""/>
      <w:lvlJc w:val="left"/>
      <w:pPr>
        <w:tabs>
          <w:tab w:val="num" w:pos="1440"/>
        </w:tabs>
        <w:ind w:left="1440" w:hanging="360"/>
      </w:pPr>
      <w:rPr>
        <w:rFonts w:ascii="Symbol" w:hAnsi="Symbol" w:hint="default"/>
        <w:b w:val="0"/>
        <w:i w:val="0"/>
        <w:sz w:val="24"/>
        <w:szCs w:val="24"/>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CC096F"/>
    <w:multiLevelType w:val="hybridMultilevel"/>
    <w:tmpl w:val="45425A6C"/>
    <w:lvl w:ilvl="0" w:tplc="BF06DE92">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5B162F0"/>
    <w:multiLevelType w:val="hybridMultilevel"/>
    <w:tmpl w:val="CBF404B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51741E42"/>
    <w:multiLevelType w:val="hybridMultilevel"/>
    <w:tmpl w:val="15E09E5A"/>
    <w:lvl w:ilvl="0" w:tplc="040E0005">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15:restartNumberingAfterBreak="0">
    <w:nsid w:val="51765A1B"/>
    <w:multiLevelType w:val="hybridMultilevel"/>
    <w:tmpl w:val="CE5AD4F0"/>
    <w:lvl w:ilvl="0" w:tplc="B284E3EC">
      <w:start w:val="3"/>
      <w:numFmt w:val="upperRoman"/>
      <w:lvlText w:val="%1."/>
      <w:lvlJc w:val="left"/>
      <w:pPr>
        <w:tabs>
          <w:tab w:val="num" w:pos="360"/>
        </w:tabs>
        <w:ind w:left="360" w:hanging="360"/>
      </w:pPr>
      <w:rPr>
        <w:rFonts w:hint="default"/>
        <w:b/>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4216B"/>
    <w:multiLevelType w:val="hybridMultilevel"/>
    <w:tmpl w:val="5A48FD40"/>
    <w:lvl w:ilvl="0" w:tplc="C9C89E3A">
      <w:numFmt w:val="bullet"/>
      <w:lvlText w:val="−"/>
      <w:lvlJc w:val="left"/>
      <w:pPr>
        <w:tabs>
          <w:tab w:val="num" w:pos="-1796"/>
        </w:tabs>
        <w:ind w:left="-1569" w:hanging="227"/>
      </w:pPr>
      <w:rPr>
        <w:rFonts w:ascii="Palatino Linotype" w:hAnsi="Palatino Linotype" w:hint="default"/>
        <w:b w:val="0"/>
        <w:i w:val="0"/>
        <w:caps w:val="0"/>
        <w:strike w:val="0"/>
        <w:dstrike w:val="0"/>
        <w:outline w:val="0"/>
        <w:shadow w:val="0"/>
        <w:emboss w:val="0"/>
        <w:imprint w:val="0"/>
        <w:vanish w:val="0"/>
        <w:sz w:val="20"/>
        <w:u w:val="none"/>
        <w:vertAlign w:val="baseline"/>
      </w:rPr>
    </w:lvl>
    <w:lvl w:ilvl="1" w:tplc="040E0019">
      <w:start w:val="1"/>
      <w:numFmt w:val="bullet"/>
      <w:lvlText w:val="o"/>
      <w:lvlJc w:val="left"/>
      <w:pPr>
        <w:tabs>
          <w:tab w:val="num" w:pos="-356"/>
        </w:tabs>
        <w:ind w:left="-356" w:hanging="360"/>
      </w:pPr>
      <w:rPr>
        <w:rFonts w:ascii="Courier New" w:hAnsi="Courier New" w:cs="Courier New" w:hint="default"/>
      </w:rPr>
    </w:lvl>
    <w:lvl w:ilvl="2" w:tplc="040E001B" w:tentative="1">
      <w:start w:val="1"/>
      <w:numFmt w:val="bullet"/>
      <w:lvlText w:val=""/>
      <w:lvlJc w:val="left"/>
      <w:pPr>
        <w:tabs>
          <w:tab w:val="num" w:pos="364"/>
        </w:tabs>
        <w:ind w:left="364" w:hanging="360"/>
      </w:pPr>
      <w:rPr>
        <w:rFonts w:ascii="Wingdings" w:hAnsi="Wingdings" w:hint="default"/>
      </w:rPr>
    </w:lvl>
    <w:lvl w:ilvl="3" w:tplc="040E000F" w:tentative="1">
      <w:start w:val="1"/>
      <w:numFmt w:val="bullet"/>
      <w:lvlText w:val=""/>
      <w:lvlJc w:val="left"/>
      <w:pPr>
        <w:tabs>
          <w:tab w:val="num" w:pos="1084"/>
        </w:tabs>
        <w:ind w:left="1084" w:hanging="360"/>
      </w:pPr>
      <w:rPr>
        <w:rFonts w:ascii="Symbol" w:hAnsi="Symbol" w:hint="default"/>
      </w:rPr>
    </w:lvl>
    <w:lvl w:ilvl="4" w:tplc="040E0019" w:tentative="1">
      <w:start w:val="1"/>
      <w:numFmt w:val="bullet"/>
      <w:lvlText w:val="o"/>
      <w:lvlJc w:val="left"/>
      <w:pPr>
        <w:tabs>
          <w:tab w:val="num" w:pos="1804"/>
        </w:tabs>
        <w:ind w:left="1804" w:hanging="360"/>
      </w:pPr>
      <w:rPr>
        <w:rFonts w:ascii="Courier New" w:hAnsi="Courier New" w:cs="Courier New" w:hint="default"/>
      </w:rPr>
    </w:lvl>
    <w:lvl w:ilvl="5" w:tplc="040E001B" w:tentative="1">
      <w:start w:val="1"/>
      <w:numFmt w:val="bullet"/>
      <w:lvlText w:val=""/>
      <w:lvlJc w:val="left"/>
      <w:pPr>
        <w:tabs>
          <w:tab w:val="num" w:pos="2524"/>
        </w:tabs>
        <w:ind w:left="2524" w:hanging="360"/>
      </w:pPr>
      <w:rPr>
        <w:rFonts w:ascii="Wingdings" w:hAnsi="Wingdings" w:hint="default"/>
      </w:rPr>
    </w:lvl>
    <w:lvl w:ilvl="6" w:tplc="040E000F" w:tentative="1">
      <w:start w:val="1"/>
      <w:numFmt w:val="bullet"/>
      <w:lvlText w:val=""/>
      <w:lvlJc w:val="left"/>
      <w:pPr>
        <w:tabs>
          <w:tab w:val="num" w:pos="3244"/>
        </w:tabs>
        <w:ind w:left="3244" w:hanging="360"/>
      </w:pPr>
      <w:rPr>
        <w:rFonts w:ascii="Symbol" w:hAnsi="Symbol" w:hint="default"/>
      </w:rPr>
    </w:lvl>
    <w:lvl w:ilvl="7" w:tplc="040E0019" w:tentative="1">
      <w:start w:val="1"/>
      <w:numFmt w:val="bullet"/>
      <w:lvlText w:val="o"/>
      <w:lvlJc w:val="left"/>
      <w:pPr>
        <w:tabs>
          <w:tab w:val="num" w:pos="3964"/>
        </w:tabs>
        <w:ind w:left="3964" w:hanging="360"/>
      </w:pPr>
      <w:rPr>
        <w:rFonts w:ascii="Courier New" w:hAnsi="Courier New" w:cs="Courier New" w:hint="default"/>
      </w:rPr>
    </w:lvl>
    <w:lvl w:ilvl="8" w:tplc="040E001B" w:tentative="1">
      <w:start w:val="1"/>
      <w:numFmt w:val="bullet"/>
      <w:lvlText w:val=""/>
      <w:lvlJc w:val="left"/>
      <w:pPr>
        <w:tabs>
          <w:tab w:val="num" w:pos="4684"/>
        </w:tabs>
        <w:ind w:left="4684" w:hanging="360"/>
      </w:pPr>
      <w:rPr>
        <w:rFonts w:ascii="Wingdings" w:hAnsi="Wingdings" w:hint="default"/>
      </w:rPr>
    </w:lvl>
  </w:abstractNum>
  <w:abstractNum w:abstractNumId="6" w15:restartNumberingAfterBreak="0">
    <w:nsid w:val="589C130A"/>
    <w:multiLevelType w:val="hybridMultilevel"/>
    <w:tmpl w:val="169491E8"/>
    <w:lvl w:ilvl="0" w:tplc="09D443BA">
      <w:start w:val="1"/>
      <w:numFmt w:val="bullet"/>
      <w:lvlText w:val=""/>
      <w:lvlJc w:val="left"/>
      <w:pPr>
        <w:tabs>
          <w:tab w:val="num" w:pos="360"/>
        </w:tabs>
        <w:ind w:left="36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867C0E"/>
    <w:multiLevelType w:val="hybridMultilevel"/>
    <w:tmpl w:val="F9A82C46"/>
    <w:lvl w:ilvl="0" w:tplc="CE4CF038">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425C46"/>
    <w:multiLevelType w:val="hybridMultilevel"/>
    <w:tmpl w:val="7B281954"/>
    <w:lvl w:ilvl="0" w:tplc="95F2F59C">
      <w:numFmt w:val="bullet"/>
      <w:lvlText w:val="-"/>
      <w:lvlJc w:val="left"/>
      <w:pPr>
        <w:tabs>
          <w:tab w:val="num" w:pos="0"/>
        </w:tabs>
        <w:ind w:left="227" w:hanging="227"/>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7B46F2"/>
    <w:multiLevelType w:val="hybridMultilevel"/>
    <w:tmpl w:val="E7125A2C"/>
    <w:lvl w:ilvl="0" w:tplc="040E0005">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0"/>
  </w:num>
  <w:num w:numId="4">
    <w:abstractNumId w:val="2"/>
  </w:num>
  <w:num w:numId="5">
    <w:abstractNumId w:val="6"/>
  </w:num>
  <w:num w:numId="6">
    <w:abstractNumId w:val="4"/>
  </w:num>
  <w:num w:numId="7">
    <w:abstractNumId w:val="8"/>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D8"/>
    <w:rsid w:val="00000EAD"/>
    <w:rsid w:val="000107ED"/>
    <w:rsid w:val="000223D3"/>
    <w:rsid w:val="00053B4A"/>
    <w:rsid w:val="00066B8D"/>
    <w:rsid w:val="0009444B"/>
    <w:rsid w:val="000A7A17"/>
    <w:rsid w:val="000B7A5A"/>
    <w:rsid w:val="000C0B50"/>
    <w:rsid w:val="000C0E50"/>
    <w:rsid w:val="000C22A3"/>
    <w:rsid w:val="000E3985"/>
    <w:rsid w:val="00103A4E"/>
    <w:rsid w:val="001136E3"/>
    <w:rsid w:val="0017221C"/>
    <w:rsid w:val="001737C9"/>
    <w:rsid w:val="001A77F4"/>
    <w:rsid w:val="001B5DDB"/>
    <w:rsid w:val="001C4BDC"/>
    <w:rsid w:val="001C7E27"/>
    <w:rsid w:val="0020538F"/>
    <w:rsid w:val="0022023B"/>
    <w:rsid w:val="0022791B"/>
    <w:rsid w:val="002959D0"/>
    <w:rsid w:val="002B0A4A"/>
    <w:rsid w:val="002F482E"/>
    <w:rsid w:val="002F6871"/>
    <w:rsid w:val="003015A9"/>
    <w:rsid w:val="00310E33"/>
    <w:rsid w:val="00317BCC"/>
    <w:rsid w:val="00331902"/>
    <w:rsid w:val="00332FE4"/>
    <w:rsid w:val="0035656F"/>
    <w:rsid w:val="00366A18"/>
    <w:rsid w:val="003D3E72"/>
    <w:rsid w:val="00402FD8"/>
    <w:rsid w:val="0040561F"/>
    <w:rsid w:val="004061A4"/>
    <w:rsid w:val="004153B5"/>
    <w:rsid w:val="0043232F"/>
    <w:rsid w:val="00451BDA"/>
    <w:rsid w:val="004649AA"/>
    <w:rsid w:val="004A2751"/>
    <w:rsid w:val="004F0DDD"/>
    <w:rsid w:val="00514EF2"/>
    <w:rsid w:val="00543019"/>
    <w:rsid w:val="00584C64"/>
    <w:rsid w:val="005B49F8"/>
    <w:rsid w:val="005F1C86"/>
    <w:rsid w:val="00653F66"/>
    <w:rsid w:val="006631CF"/>
    <w:rsid w:val="0066384C"/>
    <w:rsid w:val="0067516F"/>
    <w:rsid w:val="006A6261"/>
    <w:rsid w:val="006E264A"/>
    <w:rsid w:val="00761C42"/>
    <w:rsid w:val="00795627"/>
    <w:rsid w:val="007B04ED"/>
    <w:rsid w:val="007B5C4F"/>
    <w:rsid w:val="007C7916"/>
    <w:rsid w:val="008131DA"/>
    <w:rsid w:val="008145EA"/>
    <w:rsid w:val="00816730"/>
    <w:rsid w:val="00822D9B"/>
    <w:rsid w:val="00826FFF"/>
    <w:rsid w:val="00856C85"/>
    <w:rsid w:val="00861967"/>
    <w:rsid w:val="008B21CF"/>
    <w:rsid w:val="008D36F1"/>
    <w:rsid w:val="00901826"/>
    <w:rsid w:val="009103A0"/>
    <w:rsid w:val="0092137D"/>
    <w:rsid w:val="009429F9"/>
    <w:rsid w:val="00946C25"/>
    <w:rsid w:val="00952F72"/>
    <w:rsid w:val="0097169A"/>
    <w:rsid w:val="00973C9B"/>
    <w:rsid w:val="00981802"/>
    <w:rsid w:val="009C19D4"/>
    <w:rsid w:val="00A00D63"/>
    <w:rsid w:val="00A0751A"/>
    <w:rsid w:val="00A13A3F"/>
    <w:rsid w:val="00A2576B"/>
    <w:rsid w:val="00A2603A"/>
    <w:rsid w:val="00A34ADD"/>
    <w:rsid w:val="00A8299D"/>
    <w:rsid w:val="00A85E4A"/>
    <w:rsid w:val="00AB4B0A"/>
    <w:rsid w:val="00AE702F"/>
    <w:rsid w:val="00B15FEB"/>
    <w:rsid w:val="00B213AC"/>
    <w:rsid w:val="00B96BA8"/>
    <w:rsid w:val="00BA0278"/>
    <w:rsid w:val="00BA0F40"/>
    <w:rsid w:val="00CD6448"/>
    <w:rsid w:val="00CD64B8"/>
    <w:rsid w:val="00CE72F2"/>
    <w:rsid w:val="00D50CAA"/>
    <w:rsid w:val="00D93403"/>
    <w:rsid w:val="00DA7B19"/>
    <w:rsid w:val="00DF11AC"/>
    <w:rsid w:val="00E16650"/>
    <w:rsid w:val="00E538A1"/>
    <w:rsid w:val="00E560B4"/>
    <w:rsid w:val="00E86156"/>
    <w:rsid w:val="00EA6137"/>
    <w:rsid w:val="00EA692D"/>
    <w:rsid w:val="00EB159C"/>
    <w:rsid w:val="00EB5FA5"/>
    <w:rsid w:val="00F418B6"/>
    <w:rsid w:val="00F60500"/>
    <w:rsid w:val="00F61E6F"/>
    <w:rsid w:val="00F66138"/>
    <w:rsid w:val="00F73B63"/>
    <w:rsid w:val="00F7612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0BAED1-5546-45B6-8ACD-F781C7E4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nhideWhenUsed/>
    <w:rsid w:val="00402FD8"/>
    <w:rPr>
      <w:color w:val="0000FF"/>
      <w:u w:val="single"/>
    </w:rPr>
  </w:style>
  <w:style w:type="paragraph" w:styleId="lfej">
    <w:name w:val="header"/>
    <w:basedOn w:val="Norml"/>
    <w:link w:val="lfejChar"/>
    <w:uiPriority w:val="99"/>
    <w:unhideWhenUsed/>
    <w:rsid w:val="000223D3"/>
    <w:pPr>
      <w:tabs>
        <w:tab w:val="center" w:pos="4536"/>
        <w:tab w:val="right" w:pos="9072"/>
      </w:tabs>
      <w:spacing w:after="0" w:line="240" w:lineRule="auto"/>
    </w:pPr>
  </w:style>
  <w:style w:type="character" w:customStyle="1" w:styleId="lfejChar">
    <w:name w:val="Élőfej Char"/>
    <w:basedOn w:val="Bekezdsalapbettpusa"/>
    <w:link w:val="lfej"/>
    <w:uiPriority w:val="99"/>
    <w:rsid w:val="000223D3"/>
  </w:style>
  <w:style w:type="paragraph" w:styleId="llb">
    <w:name w:val="footer"/>
    <w:basedOn w:val="Norml"/>
    <w:link w:val="llbChar"/>
    <w:uiPriority w:val="99"/>
    <w:unhideWhenUsed/>
    <w:rsid w:val="000223D3"/>
    <w:pPr>
      <w:tabs>
        <w:tab w:val="center" w:pos="4536"/>
        <w:tab w:val="right" w:pos="9072"/>
      </w:tabs>
      <w:spacing w:after="0" w:line="240" w:lineRule="auto"/>
    </w:pPr>
  </w:style>
  <w:style w:type="character" w:customStyle="1" w:styleId="llbChar">
    <w:name w:val="Élőláb Char"/>
    <w:basedOn w:val="Bekezdsalapbettpusa"/>
    <w:link w:val="llb"/>
    <w:uiPriority w:val="99"/>
    <w:rsid w:val="000223D3"/>
  </w:style>
  <w:style w:type="paragraph" w:styleId="NormlWeb">
    <w:name w:val="Normal (Web)"/>
    <w:basedOn w:val="Norml"/>
    <w:uiPriority w:val="99"/>
    <w:rsid w:val="00981802"/>
    <w:pPr>
      <w:spacing w:before="100" w:beforeAutospacing="1" w:after="100" w:afterAutospacing="1" w:line="240" w:lineRule="auto"/>
    </w:pPr>
    <w:rPr>
      <w:rFonts w:ascii="Times New Roman" w:eastAsia="Times New Roman" w:hAnsi="Times New Roman" w:cs="Times New Roman"/>
      <w:color w:val="844142"/>
      <w:sz w:val="24"/>
      <w:szCs w:val="24"/>
      <w:lang w:eastAsia="hu-HU"/>
    </w:rPr>
  </w:style>
  <w:style w:type="paragraph" w:styleId="Listaszerbekezds">
    <w:name w:val="List Paragraph"/>
    <w:basedOn w:val="Norml"/>
    <w:uiPriority w:val="34"/>
    <w:qFormat/>
    <w:rsid w:val="00F76126"/>
    <w:pPr>
      <w:ind w:left="720"/>
      <w:contextualSpacing/>
    </w:pPr>
  </w:style>
  <w:style w:type="character" w:styleId="Mrltotthiperhivatkozs">
    <w:name w:val="FollowedHyperlink"/>
    <w:basedOn w:val="Bekezdsalapbettpusa"/>
    <w:uiPriority w:val="99"/>
    <w:semiHidden/>
    <w:unhideWhenUsed/>
    <w:rsid w:val="00F76126"/>
    <w:rPr>
      <w:color w:val="954F72" w:themeColor="followedHyperlink"/>
      <w:u w:val="single"/>
    </w:rPr>
  </w:style>
  <w:style w:type="paragraph" w:customStyle="1" w:styleId="Char">
    <w:name w:val="Char"/>
    <w:basedOn w:val="Norml"/>
    <w:rsid w:val="002B0A4A"/>
    <w:pPr>
      <w:spacing w:line="240" w:lineRule="exact"/>
    </w:pPr>
    <w:rPr>
      <w:rFonts w:ascii="Tahoma" w:eastAsia="Times New Roman" w:hAnsi="Tahoma" w:cs="Times New Roman"/>
      <w:sz w:val="20"/>
      <w:szCs w:val="20"/>
      <w:lang w:val="en-US"/>
    </w:rPr>
  </w:style>
  <w:style w:type="paragraph" w:customStyle="1" w:styleId="Char0">
    <w:name w:val="Char"/>
    <w:basedOn w:val="Norml"/>
    <w:rsid w:val="004F0DDD"/>
    <w:pPr>
      <w:spacing w:line="240" w:lineRule="exact"/>
    </w:pPr>
    <w:rPr>
      <w:rFonts w:ascii="Tahoma" w:eastAsia="Times New Roman" w:hAnsi="Tahoma" w:cs="Times New Roman"/>
      <w:sz w:val="20"/>
      <w:szCs w:val="20"/>
      <w:lang w:val="en-US"/>
    </w:rPr>
  </w:style>
  <w:style w:type="paragraph" w:customStyle="1" w:styleId="BasicParagraph">
    <w:name w:val="[Basic Paragraph]"/>
    <w:basedOn w:val="Norml"/>
    <w:uiPriority w:val="99"/>
    <w:rsid w:val="000C0E50"/>
    <w:pPr>
      <w:autoSpaceDE w:val="0"/>
      <w:autoSpaceDN w:val="0"/>
      <w:adjustRightInd w:val="0"/>
      <w:spacing w:after="0" w:line="288" w:lineRule="auto"/>
      <w:textAlignment w:val="center"/>
    </w:pPr>
    <w:rPr>
      <w:rFonts w:ascii="Calibri" w:eastAsia="Calibri" w:hAnsi="Calibri" w:cs="Times New Roman"/>
      <w:color w:val="000000"/>
      <w:sz w:val="24"/>
      <w:szCs w:val="24"/>
      <w:lang w:val="en-US"/>
    </w:rPr>
  </w:style>
  <w:style w:type="paragraph" w:styleId="Buborkszveg">
    <w:name w:val="Balloon Text"/>
    <w:basedOn w:val="Norml"/>
    <w:link w:val="BuborkszvegChar"/>
    <w:uiPriority w:val="99"/>
    <w:semiHidden/>
    <w:unhideWhenUsed/>
    <w:rsid w:val="0020538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0538F"/>
    <w:rPr>
      <w:rFonts w:ascii="Segoe UI" w:hAnsi="Segoe UI" w:cs="Segoe UI"/>
      <w:sz w:val="18"/>
      <w:szCs w:val="18"/>
    </w:rPr>
  </w:style>
  <w:style w:type="paragraph" w:styleId="Szvegtrzs">
    <w:name w:val="Body Text"/>
    <w:link w:val="SzvegtrzsChar"/>
    <w:rsid w:val="00A8299D"/>
    <w:pPr>
      <w:pBdr>
        <w:top w:val="nil"/>
        <w:left w:val="nil"/>
        <w:bottom w:val="nil"/>
        <w:right w:val="nil"/>
        <w:between w:val="nil"/>
        <w:bar w:val="nil"/>
      </w:pBdr>
      <w:spacing w:after="200" w:line="276" w:lineRule="auto"/>
    </w:pPr>
    <w:rPr>
      <w:rFonts w:ascii="Arial" w:eastAsia="Arial Unicode MS" w:hAnsi="Arial Unicode MS" w:cs="Arial Unicode MS"/>
      <w:color w:val="404040"/>
      <w:sz w:val="20"/>
      <w:szCs w:val="20"/>
      <w:u w:color="404040"/>
      <w:bdr w:val="nil"/>
      <w:lang w:eastAsia="hu-HU"/>
    </w:rPr>
  </w:style>
  <w:style w:type="character" w:customStyle="1" w:styleId="SzvegtrzsChar">
    <w:name w:val="Szövegtörzs Char"/>
    <w:basedOn w:val="Bekezdsalapbettpusa"/>
    <w:link w:val="Szvegtrzs"/>
    <w:rsid w:val="00A8299D"/>
    <w:rPr>
      <w:rFonts w:ascii="Arial" w:eastAsia="Arial Unicode MS" w:hAnsi="Arial Unicode MS" w:cs="Arial Unicode MS"/>
      <w:color w:val="404040"/>
      <w:sz w:val="20"/>
      <w:szCs w:val="20"/>
      <w:u w:color="404040"/>
      <w:bdr w:val="nil"/>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manyhivatal.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orsod-abauj-zemplen.munka.hu/"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FC278-6920-49FA-87BD-F3416CA50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1484</Words>
  <Characters>10246</Characters>
  <Application>Microsoft Office Word</Application>
  <DocSecurity>0</DocSecurity>
  <Lines>85</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Csilik Katalin</dc:creator>
  <cp:keywords/>
  <dc:description/>
  <cp:lastModifiedBy>Csilik Katalin</cp:lastModifiedBy>
  <cp:revision>31</cp:revision>
  <cp:lastPrinted>2015-12-03T07:18:00Z</cp:lastPrinted>
  <dcterms:created xsi:type="dcterms:W3CDTF">2015-03-18T08:02:00Z</dcterms:created>
  <dcterms:modified xsi:type="dcterms:W3CDTF">2016-02-24T07:57:00Z</dcterms:modified>
</cp:coreProperties>
</file>