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A7" w:rsidRDefault="00CF6544" w:rsidP="00CF654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Borsod-Abaúj-Zemplén megyei</w:t>
      </w:r>
    </w:p>
    <w:p w:rsidR="00CF6544" w:rsidRDefault="00CF6544" w:rsidP="00CF654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Kereskedelmi és Iparkamara</w:t>
      </w: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nagyvállalatok szerepe Borsod-Abaúj-Zemplén megye gazdaságában</w:t>
      </w: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Miskolc, 2013. április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Bihall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Tamás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elnök</w:t>
      </w:r>
      <w:proofErr w:type="gramEnd"/>
    </w:p>
    <w:p w:rsidR="00CF6544" w:rsidRDefault="00CF6544" w:rsidP="00CF6544">
      <w:pPr>
        <w:spacing w:after="0"/>
        <w:jc w:val="both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both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both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nagyvállalatok szerepe Borsod-Abaúj-Zemplén megye gazdaságában</w:t>
      </w: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both"/>
        <w:rPr>
          <w:sz w:val="24"/>
          <w:szCs w:val="24"/>
        </w:rPr>
      </w:pPr>
    </w:p>
    <w:p w:rsidR="00CF6544" w:rsidRDefault="00CF6544" w:rsidP="00CF65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nagyvállalat kategóriáját az alkalmazott létszám, az árbevétel, a mérleg-főösszeg határozza meg az Európai Unió által felállított kritérium szerint. </w:t>
      </w:r>
    </w:p>
    <w:p w:rsidR="00CF6544" w:rsidRDefault="00CF6544" w:rsidP="00CF6544">
      <w:pPr>
        <w:spacing w:after="0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CF6544" w:rsidTr="00E01364">
        <w:tc>
          <w:tcPr>
            <w:tcW w:w="3070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Vállalkozás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Foglalkoztatottak száma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Éves nettó árbevétel vagy mérleg-főösszeg</w:t>
            </w:r>
          </w:p>
        </w:tc>
      </w:tr>
      <w:tr w:rsidR="00CF6544" w:rsidTr="00E01364">
        <w:tc>
          <w:tcPr>
            <w:tcW w:w="3070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Mikro-vállalkozás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főnél kevesebb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legfeljebb 2 millió euró</w:t>
            </w:r>
          </w:p>
        </w:tc>
      </w:tr>
      <w:tr w:rsidR="00CF6544" w:rsidTr="00E01364">
        <w:tc>
          <w:tcPr>
            <w:tcW w:w="3070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Kisvállalkozás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10- 49 fő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legfeljebb 10 millió euró</w:t>
            </w:r>
          </w:p>
        </w:tc>
      </w:tr>
      <w:tr w:rsidR="00CF6544" w:rsidTr="00E01364">
        <w:tc>
          <w:tcPr>
            <w:tcW w:w="3070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Középvállalkozás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50-249 fő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legfeljebb 50 millió euró árbevétel, legfeljebb 43 millió euró mérlegfőösszeg</w:t>
            </w:r>
          </w:p>
        </w:tc>
      </w:tr>
      <w:tr w:rsidR="00CF6544" w:rsidTr="00E01364">
        <w:tc>
          <w:tcPr>
            <w:tcW w:w="3070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Nagyvállalat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fő fölött</w:t>
            </w:r>
          </w:p>
        </w:tc>
        <w:tc>
          <w:tcPr>
            <w:tcW w:w="3071" w:type="dxa"/>
          </w:tcPr>
          <w:p w:rsidR="00CF6544" w:rsidRDefault="00CF6544" w:rsidP="00E01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millió euró árbevétel vagy 43 millió euró mérleg-főösszeg fölött</w:t>
            </w:r>
          </w:p>
        </w:tc>
      </w:tr>
    </w:tbl>
    <w:p w:rsidR="00CF6544" w:rsidRDefault="00CF6544" w:rsidP="00CF6544">
      <w:pPr>
        <w:jc w:val="both"/>
        <w:rPr>
          <w:sz w:val="24"/>
          <w:szCs w:val="24"/>
        </w:rPr>
      </w:pPr>
      <w:r>
        <w:rPr>
          <w:sz w:val="24"/>
          <w:szCs w:val="24"/>
        </w:rPr>
        <w:t>Megjegyzés: a számítás alapja az euróban megadott értékeknek megfelelő forintösszeg</w:t>
      </w:r>
    </w:p>
    <w:p w:rsidR="00CF6544" w:rsidRDefault="00855A36" w:rsidP="00CF65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vállalkozások e kritériumok alapján kerülhetnek az egyes vállalat-csoportokba, </w:t>
      </w:r>
      <w:proofErr w:type="gramStart"/>
      <w:r>
        <w:rPr>
          <w:sz w:val="24"/>
          <w:szCs w:val="24"/>
        </w:rPr>
        <w:t>kaphatnak</w:t>
      </w:r>
      <w:proofErr w:type="gramEnd"/>
      <w:r>
        <w:rPr>
          <w:sz w:val="24"/>
          <w:szCs w:val="24"/>
        </w:rPr>
        <w:t xml:space="preserve"> vagy nem kaphatnak támogatást az EU-forrásokból.</w:t>
      </w:r>
    </w:p>
    <w:p w:rsidR="00855A36" w:rsidRDefault="00855A36" w:rsidP="00CF65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magyar vállalkozásokat az egyszerűség kedvéért általában a foglalkoztatottak száma szerint soroljuk a különböző csoportokba, részben az Euro-árfolyam változása miatti bizonytalanság miatt, de azért is, mert többségükben sajnos csak a létszám alapján kerülnek ebbe a kategóriába.</w:t>
      </w:r>
    </w:p>
    <w:p w:rsidR="00855A36" w:rsidRDefault="00855A36" w:rsidP="00CF6544">
      <w:pPr>
        <w:spacing w:after="0"/>
        <w:jc w:val="both"/>
        <w:rPr>
          <w:sz w:val="24"/>
          <w:szCs w:val="24"/>
        </w:rPr>
      </w:pPr>
    </w:p>
    <w:p w:rsidR="00855A36" w:rsidRDefault="00855A36" w:rsidP="00CF65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Az elmúlt évek folyamán a nagyvállalatok száma folyamatosan csökkent. Ezt elsősorban a cégek megszűnése, a termelő tevékenység befejezése okozta, néhány esetben a létszám csökkenése illetve egyes tevékenységek önálló vállalatként való leválasztása vagy éppen eladása.</w:t>
      </w:r>
    </w:p>
    <w:p w:rsidR="00855A36" w:rsidRDefault="00855A36" w:rsidP="00855A36">
      <w:pPr>
        <w:spacing w:after="0"/>
        <w:jc w:val="center"/>
        <w:rPr>
          <w:sz w:val="24"/>
          <w:szCs w:val="24"/>
        </w:rPr>
      </w:pPr>
      <w:r w:rsidRPr="00855A36">
        <w:rPr>
          <w:noProof/>
          <w:sz w:val="24"/>
          <w:szCs w:val="24"/>
          <w:lang w:eastAsia="hu-HU"/>
        </w:rPr>
        <w:drawing>
          <wp:inline distT="0" distB="0" distL="0" distR="0">
            <wp:extent cx="4572000" cy="274320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70657" w:rsidRPr="00070657" w:rsidRDefault="00070657" w:rsidP="00070657">
      <w:pPr>
        <w:spacing w:after="0"/>
        <w:jc w:val="right"/>
        <w:rPr>
          <w:i/>
        </w:rPr>
      </w:pPr>
      <w:r>
        <w:rPr>
          <w:i/>
        </w:rPr>
        <w:t>Forrás: KSH</w:t>
      </w:r>
    </w:p>
    <w:p w:rsidR="00855A36" w:rsidRDefault="00855A36" w:rsidP="00855A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2011-ben 36 nagyvállalat működött a megyében. Közülük is a legnagyobb foglalkoztató a </w:t>
      </w:r>
      <w:proofErr w:type="spellStart"/>
      <w:r>
        <w:rPr>
          <w:sz w:val="24"/>
          <w:szCs w:val="24"/>
        </w:rPr>
        <w:t>Jabil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Magyarország kft volt 9296 fővel. </w:t>
      </w:r>
    </w:p>
    <w:p w:rsidR="00855A36" w:rsidRDefault="00855A36" w:rsidP="00855A36">
      <w:pPr>
        <w:spacing w:after="0"/>
        <w:jc w:val="both"/>
        <w:rPr>
          <w:sz w:val="24"/>
          <w:szCs w:val="24"/>
        </w:rPr>
      </w:pPr>
    </w:p>
    <w:p w:rsidR="00855A36" w:rsidRDefault="00855A36" w:rsidP="00855A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Ágazati megoszlásukat tekintve a nagyvállalatokból </w:t>
      </w:r>
      <w:r w:rsidR="007F75AD">
        <w:rPr>
          <w:sz w:val="24"/>
          <w:szCs w:val="24"/>
        </w:rPr>
        <w:t>13 a gépipar-kohászat, 4 a vegyipar-műanyagipar, 2 mező- és erdőgazdaság, 2 az élelmiszeripar területén működik. Közösségi szolgáltatást végez 7 cég, kereskedelemmel foglalkozik 2, egyéb szolgáltatással 5, fuvarozással 1.</w:t>
      </w:r>
      <w:r w:rsidR="003A465C">
        <w:rPr>
          <w:sz w:val="24"/>
          <w:szCs w:val="24"/>
        </w:rPr>
        <w:t xml:space="preserve"> Az ipari cégek döntő többsége külföldi tulajdonú.</w:t>
      </w:r>
    </w:p>
    <w:p w:rsidR="007F75AD" w:rsidRDefault="007F75AD" w:rsidP="00855A36">
      <w:pPr>
        <w:spacing w:after="0"/>
        <w:jc w:val="both"/>
        <w:rPr>
          <w:sz w:val="24"/>
          <w:szCs w:val="24"/>
        </w:rPr>
      </w:pPr>
    </w:p>
    <w:p w:rsidR="007F75AD" w:rsidRDefault="007F75AD" w:rsidP="00855A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Területi elhelyezkedésük szerint a cégek az </w:t>
      </w:r>
      <w:proofErr w:type="spellStart"/>
      <w:r>
        <w:rPr>
          <w:sz w:val="24"/>
          <w:szCs w:val="24"/>
        </w:rPr>
        <w:t>Ózd-Kazincbarcika-Miskolc-Tiszaújváros</w:t>
      </w:r>
      <w:proofErr w:type="spellEnd"/>
      <w:r>
        <w:rPr>
          <w:sz w:val="24"/>
          <w:szCs w:val="24"/>
        </w:rPr>
        <w:t xml:space="preserve"> ipari tengelyen illetve Sátoraljaújhely és Mezőkövesd városokban működnek, mintegy 50 %-uk Miskolcon.</w:t>
      </w:r>
    </w:p>
    <w:p w:rsidR="007F75AD" w:rsidRDefault="007F75AD" w:rsidP="00855A36">
      <w:pPr>
        <w:spacing w:after="0"/>
        <w:jc w:val="both"/>
        <w:rPr>
          <w:sz w:val="24"/>
          <w:szCs w:val="24"/>
        </w:rPr>
      </w:pPr>
    </w:p>
    <w:p w:rsidR="007F75AD" w:rsidRDefault="007F75AD" w:rsidP="00855A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nagyvállalatok </w:t>
      </w:r>
      <w:r w:rsidR="003A465C">
        <w:rPr>
          <w:sz w:val="24"/>
          <w:szCs w:val="24"/>
        </w:rPr>
        <w:t xml:space="preserve">részesedése a megye gazdasági teljesítményében jelentős. Az export csaknem 90 %-át, az árbevétel és a hozzáadott érték több mint felét ők biztosítják. Azok a cégek, amelyeknek </w:t>
      </w:r>
      <w:proofErr w:type="gramStart"/>
      <w:r w:rsidR="003A465C">
        <w:rPr>
          <w:sz w:val="24"/>
          <w:szCs w:val="24"/>
        </w:rPr>
        <w:t>megyei  beszállítói</w:t>
      </w:r>
      <w:proofErr w:type="gramEnd"/>
      <w:r w:rsidR="003A465C">
        <w:rPr>
          <w:sz w:val="24"/>
          <w:szCs w:val="24"/>
        </w:rPr>
        <w:t xml:space="preserve"> vannak, közvetetten e cégek termékeit is exportálják. </w:t>
      </w:r>
    </w:p>
    <w:p w:rsidR="003A465C" w:rsidRDefault="003A465C" w:rsidP="00855A36">
      <w:pPr>
        <w:spacing w:after="0"/>
        <w:jc w:val="both"/>
        <w:rPr>
          <w:sz w:val="24"/>
          <w:szCs w:val="24"/>
        </w:rPr>
      </w:pPr>
    </w:p>
    <w:p w:rsidR="003A465C" w:rsidRDefault="003A465C" w:rsidP="00855A36">
      <w:pPr>
        <w:spacing w:after="0"/>
        <w:jc w:val="both"/>
        <w:rPr>
          <w:sz w:val="24"/>
          <w:szCs w:val="24"/>
        </w:rPr>
      </w:pPr>
      <w:r w:rsidRPr="003A465C">
        <w:rPr>
          <w:noProof/>
          <w:sz w:val="24"/>
          <w:szCs w:val="24"/>
          <w:lang w:eastAsia="hu-HU"/>
        </w:rPr>
        <w:drawing>
          <wp:inline distT="0" distB="0" distL="0" distR="0">
            <wp:extent cx="5467350" cy="285750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6544" w:rsidRDefault="00070657" w:rsidP="00070657">
      <w:pPr>
        <w:spacing w:after="0"/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CF6544" w:rsidRDefault="00CF6544" w:rsidP="00CF6544">
      <w:pPr>
        <w:spacing w:after="0"/>
        <w:jc w:val="both"/>
        <w:rPr>
          <w:b/>
          <w:sz w:val="24"/>
          <w:szCs w:val="24"/>
        </w:rPr>
      </w:pPr>
    </w:p>
    <w:p w:rsidR="00CF6544" w:rsidRDefault="00773BA9" w:rsidP="003A465C">
      <w:pPr>
        <w:spacing w:after="0"/>
        <w:jc w:val="both"/>
        <w:rPr>
          <w:sz w:val="24"/>
          <w:szCs w:val="24"/>
        </w:rPr>
      </w:pPr>
      <w:r w:rsidRPr="00773BA9">
        <w:rPr>
          <w:sz w:val="24"/>
          <w:szCs w:val="24"/>
        </w:rPr>
        <w:t xml:space="preserve">A gazdasági </w:t>
      </w:r>
      <w:r>
        <w:rPr>
          <w:sz w:val="24"/>
          <w:szCs w:val="24"/>
        </w:rPr>
        <w:t>válság elsőként ezeket a vállalatokat érte el, s bár igen jelentős intézkedéseket tettek a veszteségek csökkentésére, azokat még nem dolgozták le teljesen. Igaz természetesen az is, hogy a nagy beruházások utáni adókedvezményeket ez a kör kapja meg elsősorban.</w:t>
      </w:r>
    </w:p>
    <w:p w:rsidR="00773BA9" w:rsidRDefault="00773BA9" w:rsidP="003A465C">
      <w:pPr>
        <w:spacing w:after="0"/>
        <w:jc w:val="both"/>
        <w:rPr>
          <w:sz w:val="24"/>
          <w:szCs w:val="24"/>
        </w:rPr>
      </w:pPr>
    </w:p>
    <w:p w:rsidR="00773BA9" w:rsidRDefault="00773BA9" w:rsidP="003A465C">
      <w:pPr>
        <w:spacing w:after="0"/>
        <w:jc w:val="both"/>
        <w:rPr>
          <w:sz w:val="24"/>
          <w:szCs w:val="24"/>
        </w:rPr>
      </w:pPr>
    </w:p>
    <w:p w:rsidR="00773BA9" w:rsidRDefault="00773BA9" w:rsidP="003A465C">
      <w:pPr>
        <w:spacing w:after="0"/>
        <w:jc w:val="both"/>
        <w:rPr>
          <w:sz w:val="24"/>
          <w:szCs w:val="24"/>
        </w:rPr>
      </w:pPr>
    </w:p>
    <w:p w:rsidR="00773BA9" w:rsidRDefault="00773BA9" w:rsidP="003A465C">
      <w:pPr>
        <w:spacing w:after="0"/>
        <w:jc w:val="both"/>
        <w:rPr>
          <w:sz w:val="24"/>
          <w:szCs w:val="24"/>
        </w:rPr>
      </w:pPr>
    </w:p>
    <w:p w:rsidR="00773BA9" w:rsidRDefault="00773BA9" w:rsidP="003A465C">
      <w:pPr>
        <w:spacing w:after="0"/>
        <w:jc w:val="both"/>
        <w:rPr>
          <w:sz w:val="24"/>
          <w:szCs w:val="24"/>
        </w:rPr>
      </w:pPr>
    </w:p>
    <w:p w:rsidR="00773BA9" w:rsidRDefault="00773BA9" w:rsidP="003A465C">
      <w:pPr>
        <w:spacing w:after="0"/>
        <w:jc w:val="both"/>
        <w:rPr>
          <w:sz w:val="24"/>
          <w:szCs w:val="24"/>
        </w:rPr>
      </w:pPr>
    </w:p>
    <w:p w:rsidR="00773BA9" w:rsidRDefault="00773BA9" w:rsidP="00773BA9">
      <w:pPr>
        <w:spacing w:after="0"/>
        <w:jc w:val="center"/>
        <w:rPr>
          <w:sz w:val="24"/>
          <w:szCs w:val="24"/>
        </w:rPr>
      </w:pPr>
      <w:r w:rsidRPr="00773BA9">
        <w:rPr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572000" cy="2743200"/>
            <wp:effectExtent l="1905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0657" w:rsidRDefault="00070657" w:rsidP="00070657">
      <w:pPr>
        <w:spacing w:after="0"/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070657" w:rsidRDefault="00070657" w:rsidP="00070657">
      <w:pPr>
        <w:spacing w:after="0"/>
        <w:jc w:val="both"/>
        <w:rPr>
          <w:b/>
          <w:sz w:val="24"/>
          <w:szCs w:val="24"/>
        </w:rPr>
      </w:pPr>
    </w:p>
    <w:p w:rsidR="00773BA9" w:rsidRDefault="00773BA9" w:rsidP="00773BA9">
      <w:pPr>
        <w:spacing w:after="0"/>
        <w:jc w:val="both"/>
        <w:rPr>
          <w:sz w:val="24"/>
          <w:szCs w:val="24"/>
        </w:rPr>
      </w:pPr>
    </w:p>
    <w:p w:rsidR="00773BA9" w:rsidRDefault="00E53B68" w:rsidP="00773B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nagyvállalatok hatékonysági mutatói lényegesen magasabbak a többi vállalatcsoporténál.</w:t>
      </w:r>
    </w:p>
    <w:p w:rsidR="00E53B68" w:rsidRDefault="00E53B68" w:rsidP="00773BA9">
      <w:pPr>
        <w:spacing w:after="0"/>
        <w:jc w:val="both"/>
        <w:rPr>
          <w:sz w:val="24"/>
          <w:szCs w:val="24"/>
        </w:rPr>
      </w:pPr>
    </w:p>
    <w:p w:rsidR="00E53B68" w:rsidRPr="00773BA9" w:rsidRDefault="00E53B68" w:rsidP="00E53B68">
      <w:pPr>
        <w:spacing w:after="0"/>
        <w:jc w:val="center"/>
        <w:rPr>
          <w:sz w:val="24"/>
          <w:szCs w:val="24"/>
        </w:rPr>
      </w:pPr>
      <w:r w:rsidRPr="00E53B68">
        <w:rPr>
          <w:noProof/>
          <w:sz w:val="24"/>
          <w:szCs w:val="24"/>
          <w:lang w:eastAsia="hu-HU"/>
        </w:rPr>
        <w:drawing>
          <wp:inline distT="0" distB="0" distL="0" distR="0">
            <wp:extent cx="4572000" cy="2743200"/>
            <wp:effectExtent l="1905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0657" w:rsidRDefault="00070657" w:rsidP="00070657">
      <w:pPr>
        <w:spacing w:after="0"/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070657" w:rsidRDefault="00070657" w:rsidP="00070657">
      <w:pPr>
        <w:spacing w:after="0"/>
        <w:jc w:val="both"/>
        <w:rPr>
          <w:b/>
          <w:sz w:val="24"/>
          <w:szCs w:val="24"/>
        </w:rPr>
      </w:pPr>
    </w:p>
    <w:p w:rsidR="00E23CF9" w:rsidRDefault="00E23CF9" w:rsidP="003A46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Nem elhanyagolható szempont az sem, hogy a nagyvállalatok esetében lényegesen magasabbak az átlagbérek, ami a lakosság egy részének magasabb életszínvonalat biztosít</w:t>
      </w:r>
      <w:proofErr w:type="gramStart"/>
      <w:r>
        <w:rPr>
          <w:sz w:val="24"/>
          <w:szCs w:val="24"/>
        </w:rPr>
        <w:t>,de</w:t>
      </w:r>
      <w:proofErr w:type="gramEnd"/>
      <w:r>
        <w:rPr>
          <w:sz w:val="24"/>
          <w:szCs w:val="24"/>
        </w:rPr>
        <w:t xml:space="preserve"> emellett – közvetetten – hozzájárul ahhoz, hogy a kisvállalkozások termékeire, szolgáltatásaira nagyobb legyen a fizetőképes kereslet, így ezek piaca bővülhet,s ennek következtében újabb munkahelyek jöhetnek létre.</w:t>
      </w:r>
    </w:p>
    <w:p w:rsidR="00E23CF9" w:rsidRDefault="00E23CF9" w:rsidP="003A465C">
      <w:pPr>
        <w:spacing w:after="0"/>
        <w:jc w:val="both"/>
        <w:rPr>
          <w:sz w:val="24"/>
          <w:szCs w:val="24"/>
        </w:rPr>
      </w:pPr>
    </w:p>
    <w:p w:rsidR="00E23CF9" w:rsidRDefault="00E23CF9" w:rsidP="003A465C">
      <w:pPr>
        <w:spacing w:after="0"/>
        <w:jc w:val="both"/>
        <w:rPr>
          <w:sz w:val="24"/>
          <w:szCs w:val="24"/>
        </w:rPr>
      </w:pPr>
    </w:p>
    <w:p w:rsidR="00E23CF9" w:rsidRDefault="00E23CF9" w:rsidP="00E23CF9">
      <w:pPr>
        <w:spacing w:after="0"/>
        <w:jc w:val="center"/>
        <w:rPr>
          <w:sz w:val="24"/>
          <w:szCs w:val="24"/>
        </w:rPr>
      </w:pPr>
      <w:r w:rsidRPr="00E23CF9">
        <w:rPr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572000" cy="2743200"/>
            <wp:effectExtent l="19050" t="0" r="1905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0657" w:rsidRDefault="00070657" w:rsidP="00070657">
      <w:pPr>
        <w:spacing w:after="0"/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070657" w:rsidRDefault="00070657" w:rsidP="00070657">
      <w:pPr>
        <w:spacing w:after="0"/>
        <w:jc w:val="both"/>
        <w:rPr>
          <w:b/>
          <w:sz w:val="24"/>
          <w:szCs w:val="24"/>
        </w:rPr>
      </w:pPr>
    </w:p>
    <w:p w:rsidR="00E23CF9" w:rsidRDefault="00E23CF9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Egy, a közelmúltban készült tanulmány a diplomás pályakezdők bérét vizsgálva megállapította, hogy a multinacionális</w:t>
      </w:r>
      <w:r w:rsidR="00201222">
        <w:rPr>
          <w:sz w:val="24"/>
          <w:szCs w:val="24"/>
        </w:rPr>
        <w:t xml:space="preserve"> ipari nagyvállalatnál a kezdő fizetés 25000 Ft-tal magasabb, mint egy 20-50 fő között foglalkoztató kisvállalkozásnál. Ugyanez a tanulmány azt is kimutatta – sajnos -, hogy Észak-Magyarországon a bérek átlagosan 25000 Ft-tal maradnak el a Közép-Magyarországon elérhetőnél.</w:t>
      </w:r>
    </w:p>
    <w:p w:rsidR="00201222" w:rsidRDefault="00201222" w:rsidP="00E23CF9">
      <w:pPr>
        <w:spacing w:after="0"/>
        <w:jc w:val="both"/>
        <w:rPr>
          <w:sz w:val="24"/>
          <w:szCs w:val="24"/>
        </w:rPr>
      </w:pPr>
    </w:p>
    <w:p w:rsidR="00613878" w:rsidRDefault="00201222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nagyvállalatok igen fontos szerepet töltenek be az oktatás, elsősorban a felsőoktatás és a szakképzés anyagi és tartalmi támogatásában is.</w:t>
      </w:r>
      <w:r w:rsidR="00356A22">
        <w:rPr>
          <w:sz w:val="24"/>
          <w:szCs w:val="24"/>
        </w:rPr>
        <w:t xml:space="preserve"> A cégek igyekeznek részt venni a szakmunkások képzésében, elsősorban természetesen a saját utánpótlás kinevelésében. A duális rendszerű szakképzési rendszer általánossá válásában nélkülözhetetlenek a gyakorlati képzőhelyek, amelyek jól felszerelt, ellenőrzött körülmények között biztosítják a fiatal szakmunkások képzését.</w:t>
      </w:r>
    </w:p>
    <w:p w:rsidR="0079228F" w:rsidRDefault="0079228F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szakmunkás tanulók gyakorlati képzésének fejlesztésében a Robert Bosch cég és a BorsodChem élen járó nagyvállalatok, de a tanulószerződéses gyakorlati képzések fejlődő gyakorlatát jelzi, hogy nagyobb létszámú tanuló foglalkoztatását</w:t>
      </w:r>
      <w:r w:rsidRPr="0079228F">
        <w:rPr>
          <w:sz w:val="24"/>
          <w:szCs w:val="24"/>
        </w:rPr>
        <w:t xml:space="preserve"> </w:t>
      </w:r>
      <w:r>
        <w:rPr>
          <w:sz w:val="24"/>
          <w:szCs w:val="24"/>
        </w:rPr>
        <w:t>tervezi</w:t>
      </w:r>
      <w:r w:rsidRPr="007922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Jabil</w:t>
      </w:r>
      <w:proofErr w:type="spellEnd"/>
      <w:r>
        <w:rPr>
          <w:sz w:val="24"/>
          <w:szCs w:val="24"/>
        </w:rPr>
        <w:t xml:space="preserve"> is. </w:t>
      </w:r>
    </w:p>
    <w:p w:rsidR="00356A22" w:rsidRDefault="00356A22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Hagyományosan jó az együttműködés a térség nagyvállalatai és a Miskolci Egyetem között, elsősorban természetesen a mérnöki és közgazdász karokkal. Ez a kapcsolat nem csupán a kutatás-fejlesztés területén jelenik meg, hanem egyre erőteljesebben a gyakorlati ismeretek átadásában, a korszerű vállalati tudások és ismeretek megosztásában. A mérnökképzésben kiemelkedő volt a Robert Bosch cég által létrehozott és működtetett „Bosch-tanszék”, amely oktatási eszközök, berendezések mellett tanagyagot, gyakorlati előadókat is biztosít a hallgatók számára, illetve létrehozta és működteti a gyakornoki rendszert. A Bosch cé</w:t>
      </w:r>
      <w:r w:rsidR="00A81B48">
        <w:rPr>
          <w:sz w:val="24"/>
          <w:szCs w:val="24"/>
        </w:rPr>
        <w:t>g kezdeményezésére jött létre a M</w:t>
      </w:r>
      <w:r>
        <w:rPr>
          <w:sz w:val="24"/>
          <w:szCs w:val="24"/>
        </w:rPr>
        <w:t>agyarországon működő multinacionális vállalatok</w:t>
      </w:r>
      <w:r w:rsidR="00A81B48">
        <w:rPr>
          <w:sz w:val="24"/>
          <w:szCs w:val="24"/>
        </w:rPr>
        <w:t xml:space="preserve"> által alapított „Együtt a Jövő Mérnökeiért Szövetség”, amely a vállalati eszközök és lehetőségek koordinálásával és pénzügyi hozzájárulással igyekszik támogatni és megújítani a </w:t>
      </w:r>
      <w:r w:rsidR="00A81B48">
        <w:rPr>
          <w:sz w:val="24"/>
          <w:szCs w:val="24"/>
        </w:rPr>
        <w:lastRenderedPageBreak/>
        <w:t xml:space="preserve">mérnökképzést. </w:t>
      </w:r>
      <w:r>
        <w:rPr>
          <w:sz w:val="24"/>
          <w:szCs w:val="24"/>
        </w:rPr>
        <w:t xml:space="preserve">Az elmúlt évben a BorsodChem tulajdonosa, a </w:t>
      </w:r>
      <w:proofErr w:type="spellStart"/>
      <w:r>
        <w:rPr>
          <w:sz w:val="24"/>
          <w:szCs w:val="24"/>
        </w:rPr>
        <w:t>Wanhua</w:t>
      </w:r>
      <w:proofErr w:type="spellEnd"/>
      <w:r>
        <w:rPr>
          <w:sz w:val="24"/>
          <w:szCs w:val="24"/>
        </w:rPr>
        <w:t xml:space="preserve"> cég létesített kihelyezett tanszéket, sőt, segíti a kínai nyelv tanulását is.  </w:t>
      </w:r>
    </w:p>
    <w:p w:rsidR="00A81B48" w:rsidRDefault="00A81B48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Megemlítendő, hogy a nagyvállalatok első számú vezetői vagy HR vezetői vesznek részt a Magyar Kereskedelmi és Iparkamara által működtetett Felsőoktatási Szakkollégium munkájában, amely az Emberi Erőforrások Minisztériuma által létrehozott Felsőoktatási Kerekasztal szakmai munkáját segíti.</w:t>
      </w:r>
    </w:p>
    <w:p w:rsidR="00A81B48" w:rsidRDefault="00A81B48" w:rsidP="00E23CF9">
      <w:pPr>
        <w:spacing w:after="0"/>
        <w:jc w:val="both"/>
        <w:rPr>
          <w:sz w:val="24"/>
          <w:szCs w:val="24"/>
        </w:rPr>
      </w:pPr>
    </w:p>
    <w:p w:rsidR="00A81B48" w:rsidRDefault="00A81B48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megyében működő nagyvállalatok elkötelezetten segítik az újabb befektetők idetelepedését, jó példa a </w:t>
      </w:r>
      <w:proofErr w:type="spellStart"/>
      <w:r>
        <w:rPr>
          <w:sz w:val="24"/>
          <w:szCs w:val="24"/>
        </w:rPr>
        <w:t>Wanhua</w:t>
      </w:r>
      <w:proofErr w:type="spellEnd"/>
      <w:r>
        <w:rPr>
          <w:sz w:val="24"/>
          <w:szCs w:val="24"/>
        </w:rPr>
        <w:t xml:space="preserve"> cég kínai, vagy az ÉMÁSZ Németországi közvetítő szerepe, vagy a Bosch cég Miskolccal, a város fenntartható fejlődéséért kialakított programja.  </w:t>
      </w:r>
    </w:p>
    <w:p w:rsidR="00A81B48" w:rsidRDefault="00A81B48" w:rsidP="00E23CF9">
      <w:pPr>
        <w:spacing w:after="0"/>
        <w:jc w:val="both"/>
        <w:rPr>
          <w:sz w:val="24"/>
          <w:szCs w:val="24"/>
        </w:rPr>
      </w:pPr>
    </w:p>
    <w:p w:rsidR="00A81B48" w:rsidRDefault="00A81B48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nagyvállalatok élen járnak a társadalmi felelősségvállalás, a környezettudatosság terén, a segítségre szorulók támogatásában is, karitatív munkában is.</w:t>
      </w:r>
    </w:p>
    <w:p w:rsidR="00A81B48" w:rsidRDefault="00A81B48" w:rsidP="00E23C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Jó együttműködéssel a hazai, helyi kis- és középvállalkozások, a gazdasági-társadalmi szereplők kiváló partnert találnak a nagyvállalatokban, </w:t>
      </w:r>
      <w:r w:rsidR="00840FF8">
        <w:rPr>
          <w:sz w:val="24"/>
          <w:szCs w:val="24"/>
        </w:rPr>
        <w:t>elősegítve a megye fejlődését.</w:t>
      </w:r>
    </w:p>
    <w:p w:rsidR="00356A22" w:rsidRDefault="00356A22" w:rsidP="00E23CF9">
      <w:pPr>
        <w:spacing w:after="0"/>
        <w:jc w:val="both"/>
        <w:rPr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Default="00CF6544" w:rsidP="00CF6544">
      <w:pPr>
        <w:spacing w:after="0"/>
        <w:jc w:val="center"/>
        <w:rPr>
          <w:b/>
          <w:sz w:val="24"/>
          <w:szCs w:val="24"/>
        </w:rPr>
      </w:pPr>
    </w:p>
    <w:p w:rsidR="00CF6544" w:rsidRPr="00CF6544" w:rsidRDefault="00CF6544" w:rsidP="00CF6544">
      <w:pPr>
        <w:spacing w:after="0"/>
        <w:jc w:val="center"/>
        <w:rPr>
          <w:sz w:val="24"/>
          <w:szCs w:val="24"/>
        </w:rPr>
      </w:pPr>
    </w:p>
    <w:sectPr w:rsidR="00CF6544" w:rsidRPr="00CF6544" w:rsidSect="002D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544"/>
    <w:rsid w:val="00070657"/>
    <w:rsid w:val="00201222"/>
    <w:rsid w:val="00290AED"/>
    <w:rsid w:val="002D40E0"/>
    <w:rsid w:val="00301851"/>
    <w:rsid w:val="00356A22"/>
    <w:rsid w:val="003A465C"/>
    <w:rsid w:val="00613878"/>
    <w:rsid w:val="00773BA9"/>
    <w:rsid w:val="0079228F"/>
    <w:rsid w:val="007F75AD"/>
    <w:rsid w:val="00840FF8"/>
    <w:rsid w:val="00855A36"/>
    <w:rsid w:val="008602AB"/>
    <w:rsid w:val="00897CA6"/>
    <w:rsid w:val="00A57476"/>
    <w:rsid w:val="00A81B48"/>
    <w:rsid w:val="00B96C4A"/>
    <w:rsid w:val="00CB3A70"/>
    <w:rsid w:val="00CF6544"/>
    <w:rsid w:val="00D209D3"/>
    <w:rsid w:val="00E23CF9"/>
    <w:rsid w:val="00E5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%20b&#337;v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%20b&#337;v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%20b&#337;v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%20b&#337;v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5"/>
  <c:chart>
    <c:title>
      <c:tx>
        <c:rich>
          <a:bodyPr/>
          <a:lstStyle/>
          <a:p>
            <a:pPr>
              <a:defRPr/>
            </a:pPr>
            <a:r>
              <a:rPr lang="en-US"/>
              <a:t>Nagyvállalatok</a:t>
            </a:r>
            <a:r>
              <a:rPr lang="hu-HU"/>
              <a:t> száma,db</a:t>
            </a:r>
            <a:endParaRPr lang="en-US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'Vállalkozások száma'!$A$28</c:f>
              <c:strCache>
                <c:ptCount val="1"/>
                <c:pt idx="0">
                  <c:v>Nagyvállalatok</c:v>
                </c:pt>
              </c:strCache>
            </c:strRef>
          </c:tx>
          <c:cat>
            <c:numRef>
              <c:f>'Vállalkozások száma'!$B$27:$G$27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'Vállalkozások száma'!$B$28:$G$28</c:f>
              <c:numCache>
                <c:formatCode>General</c:formatCode>
                <c:ptCount val="6"/>
                <c:pt idx="0">
                  <c:v>47</c:v>
                </c:pt>
                <c:pt idx="1">
                  <c:v>43</c:v>
                </c:pt>
                <c:pt idx="2">
                  <c:v>43</c:v>
                </c:pt>
                <c:pt idx="3">
                  <c:v>42</c:v>
                </c:pt>
                <c:pt idx="4">
                  <c:v>42</c:v>
                </c:pt>
                <c:pt idx="5">
                  <c:v>36</c:v>
                </c:pt>
              </c:numCache>
            </c:numRef>
          </c:val>
        </c:ser>
        <c:shape val="cylinder"/>
        <c:axId val="56060544"/>
        <c:axId val="62818944"/>
        <c:axId val="0"/>
      </c:bar3DChart>
      <c:catAx>
        <c:axId val="56060544"/>
        <c:scaling>
          <c:orientation val="minMax"/>
        </c:scaling>
        <c:axPos val="b"/>
        <c:numFmt formatCode="General" sourceLinked="1"/>
        <c:tickLblPos val="nextTo"/>
        <c:crossAx val="62818944"/>
        <c:crosses val="autoZero"/>
        <c:auto val="1"/>
        <c:lblAlgn val="ctr"/>
        <c:lblOffset val="100"/>
      </c:catAx>
      <c:valAx>
        <c:axId val="62818944"/>
        <c:scaling>
          <c:orientation val="minMax"/>
        </c:scaling>
        <c:axPos val="l"/>
        <c:majorGridlines/>
        <c:numFmt formatCode="General" sourceLinked="1"/>
        <c:tickLblPos val="nextTo"/>
        <c:crossAx val="5606054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>
      <c:tx>
        <c:rich>
          <a:bodyPr/>
          <a:lstStyle/>
          <a:p>
            <a:pPr>
              <a:defRPr/>
            </a:pPr>
            <a:r>
              <a:rPr lang="hu-HU"/>
              <a:t>Egyes vállalati méretű csoportok teljesítmény megoszlása</a:t>
            </a:r>
          </a:p>
        </c:rich>
      </c:tx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Munka8!$A$22</c:f>
              <c:strCache>
                <c:ptCount val="1"/>
                <c:pt idx="0">
                  <c:v>Mikro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Munka8!$B$22:$I$22</c:f>
              <c:numCache>
                <c:formatCode>General</c:formatCode>
                <c:ptCount val="8"/>
                <c:pt idx="0">
                  <c:v>10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  <c:pt idx="4">
                  <c:v>13</c:v>
                </c:pt>
                <c:pt idx="5">
                  <c:v>13</c:v>
                </c:pt>
                <c:pt idx="6">
                  <c:v>24</c:v>
                </c:pt>
                <c:pt idx="7">
                  <c:v>23</c:v>
                </c:pt>
              </c:numCache>
            </c:numRef>
          </c:val>
        </c:ser>
        <c:ser>
          <c:idx val="1"/>
          <c:order val="1"/>
          <c:tx>
            <c:strRef>
              <c:f>Munka8!$A$23</c:f>
              <c:strCache>
                <c:ptCount val="1"/>
                <c:pt idx="0">
                  <c:v>Kis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Munka8!$B$23:$I$23</c:f>
              <c:numCache>
                <c:formatCode>General</c:formatCode>
                <c:ptCount val="8"/>
                <c:pt idx="0">
                  <c:v>12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15</c:v>
                </c:pt>
                <c:pt idx="5">
                  <c:v>15</c:v>
                </c:pt>
                <c:pt idx="6">
                  <c:v>22</c:v>
                </c:pt>
                <c:pt idx="7">
                  <c:v>20</c:v>
                </c:pt>
              </c:numCache>
            </c:numRef>
          </c:val>
        </c:ser>
        <c:ser>
          <c:idx val="2"/>
          <c:order val="2"/>
          <c:tx>
            <c:strRef>
              <c:f>Munka8!$A$24</c:f>
              <c:strCache>
                <c:ptCount val="1"/>
                <c:pt idx="0">
                  <c:v>Közép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Munka8!$B$24:$I$24</c:f>
              <c:numCache>
                <c:formatCode>General</c:formatCode>
                <c:ptCount val="8"/>
                <c:pt idx="0">
                  <c:v>13</c:v>
                </c:pt>
                <c:pt idx="1">
                  <c:v>14</c:v>
                </c:pt>
                <c:pt idx="2">
                  <c:v>9</c:v>
                </c:pt>
                <c:pt idx="3">
                  <c:v>8</c:v>
                </c:pt>
                <c:pt idx="4">
                  <c:v>18</c:v>
                </c:pt>
                <c:pt idx="5">
                  <c:v>20</c:v>
                </c:pt>
                <c:pt idx="6">
                  <c:v>20</c:v>
                </c:pt>
                <c:pt idx="7">
                  <c:v>21</c:v>
                </c:pt>
              </c:numCache>
            </c:numRef>
          </c:val>
        </c:ser>
        <c:ser>
          <c:idx val="3"/>
          <c:order val="3"/>
          <c:tx>
            <c:strRef>
              <c:f>Munka8!$A$25</c:f>
              <c:strCache>
                <c:ptCount val="1"/>
                <c:pt idx="0">
                  <c:v>Nagy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Munka8!$B$25:$I$25</c:f>
              <c:numCache>
                <c:formatCode>General</c:formatCode>
                <c:ptCount val="8"/>
                <c:pt idx="0">
                  <c:v>65</c:v>
                </c:pt>
                <c:pt idx="1">
                  <c:v>66</c:v>
                </c:pt>
                <c:pt idx="2">
                  <c:v>88</c:v>
                </c:pt>
                <c:pt idx="3">
                  <c:v>89</c:v>
                </c:pt>
                <c:pt idx="4">
                  <c:v>54</c:v>
                </c:pt>
                <c:pt idx="5">
                  <c:v>52</c:v>
                </c:pt>
                <c:pt idx="6">
                  <c:v>34</c:v>
                </c:pt>
                <c:pt idx="7">
                  <c:v>36</c:v>
                </c:pt>
              </c:numCache>
            </c:numRef>
          </c:val>
        </c:ser>
        <c:gapWidth val="95"/>
        <c:overlap val="100"/>
        <c:axId val="62952192"/>
        <c:axId val="62953728"/>
      </c:barChart>
      <c:catAx>
        <c:axId val="62952192"/>
        <c:scaling>
          <c:orientation val="minMax"/>
        </c:scaling>
        <c:axPos val="b"/>
        <c:majorTickMark val="none"/>
        <c:tickLblPos val="nextTo"/>
        <c:crossAx val="62953728"/>
        <c:crosses val="autoZero"/>
        <c:auto val="1"/>
        <c:lblAlgn val="ctr"/>
        <c:lblOffset val="100"/>
      </c:catAx>
      <c:valAx>
        <c:axId val="629537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29521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6"/>
  <c:chart>
    <c:title>
      <c:tx>
        <c:rich>
          <a:bodyPr/>
          <a:lstStyle/>
          <a:p>
            <a:pPr>
              <a:defRPr/>
            </a:pPr>
            <a:r>
              <a:rPr lang="en-US"/>
              <a:t>A nagyvállalatok adózás utáni eredményének alakulása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'Adózott eredmény'!$A$32</c:f>
              <c:strCache>
                <c:ptCount val="1"/>
              </c:strCache>
            </c:strRef>
          </c:tx>
          <c:cat>
            <c:numRef>
              <c:f>'Adózott eredmény'!$B$31:$G$31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'Adózott eredmény'!$B$32:$G$32</c:f>
              <c:numCache>
                <c:formatCode>General</c:formatCode>
                <c:ptCount val="6"/>
                <c:pt idx="0">
                  <c:v>62344</c:v>
                </c:pt>
                <c:pt idx="1">
                  <c:v>127268</c:v>
                </c:pt>
                <c:pt idx="2">
                  <c:v>-1318</c:v>
                </c:pt>
                <c:pt idx="3">
                  <c:v>-28370</c:v>
                </c:pt>
                <c:pt idx="4">
                  <c:v>-19748</c:v>
                </c:pt>
                <c:pt idx="5">
                  <c:v>-37228</c:v>
                </c:pt>
              </c:numCache>
            </c:numRef>
          </c:val>
        </c:ser>
        <c:shape val="cylinder"/>
        <c:axId val="63856640"/>
        <c:axId val="63858176"/>
        <c:axId val="0"/>
      </c:bar3DChart>
      <c:catAx>
        <c:axId val="63856640"/>
        <c:scaling>
          <c:orientation val="minMax"/>
        </c:scaling>
        <c:axPos val="b"/>
        <c:numFmt formatCode="General" sourceLinked="1"/>
        <c:majorTickMark val="none"/>
        <c:tickLblPos val="nextTo"/>
        <c:crossAx val="63858176"/>
        <c:crosses val="autoZero"/>
        <c:auto val="1"/>
        <c:lblAlgn val="ctr"/>
        <c:lblOffset val="100"/>
      </c:catAx>
      <c:valAx>
        <c:axId val="638581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MFt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38566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style val="5"/>
  <c:chart>
    <c:title>
      <c:tx>
        <c:rich>
          <a:bodyPr/>
          <a:lstStyle/>
          <a:p>
            <a:pPr>
              <a:defRPr/>
            </a:pPr>
            <a:r>
              <a:rPr lang="en-US"/>
              <a:t>Vállalakozások hatékonysága</a:t>
            </a:r>
            <a:r>
              <a:rPr lang="hu-HU"/>
              <a:t>: </a:t>
            </a:r>
          </a:p>
          <a:p>
            <a:pPr>
              <a:defRPr/>
            </a:pPr>
            <a:r>
              <a:rPr lang="hu-HU"/>
              <a:t>egy főre jutó hozzáadott érték</a:t>
            </a:r>
            <a:r>
              <a:rPr lang="en-US"/>
              <a:t>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Hatékonyság!$B$10</c:f>
              <c:strCache>
                <c:ptCount val="1"/>
                <c:pt idx="0">
                  <c:v>Eft/fő</c:v>
                </c:pt>
              </c:strCache>
            </c:strRef>
          </c:tx>
          <c:cat>
            <c:strRef>
              <c:f>Hatékonyság!$A$11:$A$14</c:f>
              <c:strCache>
                <c:ptCount val="4"/>
                <c:pt idx="0">
                  <c:v>Mikro</c:v>
                </c:pt>
                <c:pt idx="1">
                  <c:v>Kis</c:v>
                </c:pt>
                <c:pt idx="2">
                  <c:v>Közép</c:v>
                </c:pt>
                <c:pt idx="3">
                  <c:v>Nagy</c:v>
                </c:pt>
              </c:strCache>
            </c:strRef>
          </c:cat>
          <c:val>
            <c:numRef>
              <c:f>Hatékonyság!$B$11:$B$14</c:f>
              <c:numCache>
                <c:formatCode>General</c:formatCode>
                <c:ptCount val="4"/>
                <c:pt idx="0">
                  <c:v>2611</c:v>
                </c:pt>
                <c:pt idx="1">
                  <c:v>2997</c:v>
                </c:pt>
                <c:pt idx="2">
                  <c:v>4580</c:v>
                </c:pt>
                <c:pt idx="3">
                  <c:v>6888</c:v>
                </c:pt>
              </c:numCache>
            </c:numRef>
          </c:val>
        </c:ser>
        <c:shape val="cylinder"/>
        <c:axId val="63872000"/>
        <c:axId val="63890176"/>
        <c:axId val="0"/>
      </c:bar3DChart>
      <c:catAx>
        <c:axId val="63872000"/>
        <c:scaling>
          <c:orientation val="minMax"/>
        </c:scaling>
        <c:axPos val="b"/>
        <c:majorTickMark val="none"/>
        <c:tickLblPos val="nextTo"/>
        <c:crossAx val="63890176"/>
        <c:crosses val="autoZero"/>
        <c:auto val="1"/>
        <c:lblAlgn val="ctr"/>
        <c:lblOffset val="100"/>
      </c:catAx>
      <c:valAx>
        <c:axId val="638901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Eft/fő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38720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style val="8"/>
  <c:chart>
    <c:title>
      <c:tx>
        <c:rich>
          <a:bodyPr/>
          <a:lstStyle/>
          <a:p>
            <a:pPr>
              <a:defRPr/>
            </a:pPr>
            <a:r>
              <a:rPr lang="en-US"/>
              <a:t>Átlagbérek alakulása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Átlagbérek!$B$3</c:f>
              <c:strCache>
                <c:ptCount val="1"/>
                <c:pt idx="0">
                  <c:v>Eft/fő, év</c:v>
                </c:pt>
              </c:strCache>
            </c:strRef>
          </c:tx>
          <c:cat>
            <c:strRef>
              <c:f>Átlagbérek!$A$4:$A$7</c:f>
              <c:strCache>
                <c:ptCount val="4"/>
                <c:pt idx="0">
                  <c:v>Mikro</c:v>
                </c:pt>
                <c:pt idx="1">
                  <c:v>Kis</c:v>
                </c:pt>
                <c:pt idx="2">
                  <c:v>Közép</c:v>
                </c:pt>
                <c:pt idx="3">
                  <c:v>Nagy</c:v>
                </c:pt>
              </c:strCache>
            </c:strRef>
          </c:cat>
          <c:val>
            <c:numRef>
              <c:f>Átlagbérek!$B$4:$B$7</c:f>
              <c:numCache>
                <c:formatCode>General</c:formatCode>
                <c:ptCount val="4"/>
                <c:pt idx="0">
                  <c:v>1153</c:v>
                </c:pt>
                <c:pt idx="1">
                  <c:v>1312</c:v>
                </c:pt>
                <c:pt idx="2">
                  <c:v>2034</c:v>
                </c:pt>
                <c:pt idx="3">
                  <c:v>2408</c:v>
                </c:pt>
              </c:numCache>
            </c:numRef>
          </c:val>
        </c:ser>
        <c:shape val="cylinder"/>
        <c:axId val="63985920"/>
        <c:axId val="63995904"/>
        <c:axId val="0"/>
      </c:bar3DChart>
      <c:catAx>
        <c:axId val="63985920"/>
        <c:scaling>
          <c:orientation val="minMax"/>
        </c:scaling>
        <c:axPos val="b"/>
        <c:majorTickMark val="none"/>
        <c:tickLblPos val="nextTo"/>
        <c:crossAx val="63995904"/>
        <c:crosses val="autoZero"/>
        <c:auto val="1"/>
        <c:lblAlgn val="ctr"/>
        <c:lblOffset val="100"/>
      </c:catAx>
      <c:valAx>
        <c:axId val="639959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Ezer Ft/fő, év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39859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71B6B-18FF-4E8E-9282-D47C2290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809</Words>
  <Characters>5588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juhasz.gabor</cp:lastModifiedBy>
  <cp:revision>4</cp:revision>
  <dcterms:created xsi:type="dcterms:W3CDTF">2013-04-14T17:04:00Z</dcterms:created>
  <dcterms:modified xsi:type="dcterms:W3CDTF">2013-04-16T06:52:00Z</dcterms:modified>
</cp:coreProperties>
</file>