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AF" w:rsidRPr="00E624AF" w:rsidRDefault="00E624AF" w:rsidP="00E624AF">
      <w:pPr>
        <w:spacing w:after="0"/>
        <w:rPr>
          <w:b/>
          <w:sz w:val="24"/>
          <w:szCs w:val="24"/>
        </w:rPr>
      </w:pPr>
      <w:r w:rsidRPr="00E624AF">
        <w:rPr>
          <w:b/>
          <w:sz w:val="24"/>
          <w:szCs w:val="24"/>
        </w:rPr>
        <w:t>Borsod-Abaúj-Zemplén megyei</w:t>
      </w:r>
    </w:p>
    <w:p w:rsidR="001613A7" w:rsidRDefault="00E624AF" w:rsidP="00E624AF">
      <w:pPr>
        <w:spacing w:after="0"/>
        <w:rPr>
          <w:b/>
          <w:sz w:val="24"/>
          <w:szCs w:val="24"/>
        </w:rPr>
      </w:pPr>
      <w:r w:rsidRPr="00E624AF">
        <w:rPr>
          <w:b/>
          <w:sz w:val="24"/>
          <w:szCs w:val="24"/>
        </w:rPr>
        <w:t>Kereskedelmi és Iparkamara</w:t>
      </w: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kis- és középvállalkozások helyzete Borsod-Abaúj-Zemplén megyében</w:t>
      </w: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Miskolc, 2013. április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Bihall</w:t>
      </w:r>
      <w:proofErr w:type="spellEnd"/>
      <w:r>
        <w:rPr>
          <w:b/>
          <w:sz w:val="24"/>
          <w:szCs w:val="24"/>
        </w:rPr>
        <w:t xml:space="preserve"> Tamás</w:t>
      </w:r>
    </w:p>
    <w:p w:rsidR="00E624AF" w:rsidRDefault="00E624AF" w:rsidP="00E624A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proofErr w:type="gramStart"/>
      <w:r>
        <w:rPr>
          <w:b/>
          <w:sz w:val="24"/>
          <w:szCs w:val="24"/>
        </w:rPr>
        <w:t>elnök</w:t>
      </w:r>
      <w:proofErr w:type="gramEnd"/>
    </w:p>
    <w:p w:rsidR="00E624AF" w:rsidRDefault="00E624AF" w:rsidP="00E624AF">
      <w:pPr>
        <w:spacing w:after="0"/>
        <w:jc w:val="both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both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both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kis- és középvállalkozások helyzete Borsod-Abaúj-Zemplén megyében</w:t>
      </w:r>
    </w:p>
    <w:p w:rsidR="00E624AF" w:rsidRDefault="00E624AF" w:rsidP="00E624AF">
      <w:pPr>
        <w:spacing w:after="0"/>
        <w:jc w:val="center"/>
        <w:rPr>
          <w:b/>
          <w:sz w:val="24"/>
          <w:szCs w:val="24"/>
        </w:rPr>
      </w:pPr>
    </w:p>
    <w:p w:rsidR="00E624AF" w:rsidRDefault="00E624AF" w:rsidP="00E624AF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2012. áprilisában</w:t>
      </w:r>
      <w:proofErr w:type="gramEnd"/>
      <w:r>
        <w:rPr>
          <w:sz w:val="24"/>
          <w:szCs w:val="24"/>
        </w:rPr>
        <w:t xml:space="preserve"> a Borsod-Abaúj-Zemplén megyei Közgyűlés a megyei Kereskedelmi és Iparkamara tájékoztatója alapján megtárgyalta a megyében működő kkv-k helyzetét. Az anyag a regisztrált vállalkozások számát, alkalmazott létszám szerinti megoszlását, a kkv-k részesedését a megyei gazdasági eredményekben, a vállalkozások pénzügyi, piaci helyzetét, foglalkoztatási pozícióját mutatta be és néhány javaslatot fogalmazott meg a helyi vállalkozások erősítése érdekében. Jelen anyagunkban kitérünk az egy év alatt bekövetkező változásokra, tovább árnyaljuk a </w:t>
      </w:r>
      <w:proofErr w:type="spellStart"/>
      <w:r>
        <w:rPr>
          <w:sz w:val="24"/>
          <w:szCs w:val="24"/>
        </w:rPr>
        <w:t>kkv-k-ről</w:t>
      </w:r>
      <w:proofErr w:type="spellEnd"/>
      <w:r>
        <w:rPr>
          <w:sz w:val="24"/>
          <w:szCs w:val="24"/>
        </w:rPr>
        <w:t xml:space="preserve"> adott képet és kitérünk az aktualitásokra is.</w:t>
      </w:r>
    </w:p>
    <w:p w:rsidR="001E6367" w:rsidRDefault="001E6367" w:rsidP="00E624AF">
      <w:pPr>
        <w:spacing w:after="0"/>
        <w:jc w:val="both"/>
        <w:rPr>
          <w:sz w:val="24"/>
          <w:szCs w:val="24"/>
        </w:rPr>
      </w:pPr>
    </w:p>
    <w:p w:rsidR="00E624AF" w:rsidRDefault="001E6367" w:rsidP="001E6367">
      <w:pPr>
        <w:spacing w:after="0"/>
        <w:jc w:val="both"/>
        <w:rPr>
          <w:sz w:val="24"/>
          <w:szCs w:val="24"/>
        </w:rPr>
      </w:pPr>
      <w:r w:rsidRPr="001E6367">
        <w:rPr>
          <w:b/>
          <w:sz w:val="24"/>
          <w:szCs w:val="24"/>
        </w:rPr>
        <w:t>A vállalkozások száma, megoszlása</w:t>
      </w:r>
    </w:p>
    <w:p w:rsidR="00E624AF" w:rsidRDefault="00112745" w:rsidP="001E63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Az elmúlt évi anyagban is jeleztük, hogy a megyében – de országosan is – jelentősen eltér a regisztrált és a működő vállalkozások száma. Ez utóbbiakat a KSH csak több éves késéssel közli, így bemutatásként 2010-ig tudjuk bemutatni a folyamatot.</w:t>
      </w:r>
    </w:p>
    <w:p w:rsidR="00112745" w:rsidRDefault="00112745" w:rsidP="001E6367">
      <w:pPr>
        <w:spacing w:after="0"/>
        <w:jc w:val="both"/>
        <w:rPr>
          <w:sz w:val="24"/>
          <w:szCs w:val="24"/>
        </w:rPr>
      </w:pPr>
    </w:p>
    <w:p w:rsidR="00112745" w:rsidRPr="00E624AF" w:rsidRDefault="00112745" w:rsidP="00E624AF">
      <w:pPr>
        <w:spacing w:after="0"/>
        <w:jc w:val="both"/>
        <w:rPr>
          <w:sz w:val="24"/>
          <w:szCs w:val="24"/>
        </w:rPr>
      </w:pPr>
      <w:r w:rsidRPr="00112745">
        <w:rPr>
          <w:noProof/>
          <w:sz w:val="24"/>
          <w:szCs w:val="24"/>
          <w:lang w:eastAsia="hu-HU"/>
        </w:rPr>
        <w:drawing>
          <wp:inline distT="0" distB="0" distL="0" distR="0">
            <wp:extent cx="5760720" cy="3038475"/>
            <wp:effectExtent l="1905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624AF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 w:rsidRPr="002D4B71">
        <w:rPr>
          <w:i/>
          <w:sz w:val="24"/>
          <w:szCs w:val="24"/>
        </w:rPr>
        <w:t>Forrás: KSH</w:t>
      </w:r>
    </w:p>
    <w:p w:rsidR="00A0088C" w:rsidRDefault="00A0088C" w:rsidP="00E624AF">
      <w:pPr>
        <w:spacing w:after="0"/>
        <w:jc w:val="both"/>
        <w:rPr>
          <w:b/>
          <w:sz w:val="24"/>
          <w:szCs w:val="24"/>
        </w:rPr>
      </w:pPr>
    </w:p>
    <w:p w:rsidR="00A0088C" w:rsidRDefault="00A0088C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vállalkozások nagy számbeli növekedése 2008-ban következett be, aminek egyszerű adminisztratív oka a mezőgazdasági őstermelők számára előírt kötelezettség a vállalkozói igazolványok kiváltására. Jól látható ez, ha a társas illetve egyéni vállalkozások számának alakulását nyomon követjük.</w:t>
      </w:r>
    </w:p>
    <w:p w:rsidR="00A0088C" w:rsidRDefault="00A0088C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Míg a társas vállalkozások esetében a nem működő cégek száma folyamatosan 7-8 ezer között van, addig az egyén vállalkozások esetében 2008-ig 12-13 ezer volt inaktív, ezt követően viszont 34 ezer körüli lett.  2010-ben a mezőgazdaságban 1283 vállalkozás működött</w:t>
      </w:r>
      <w:r w:rsidR="00923B0B">
        <w:rPr>
          <w:sz w:val="24"/>
          <w:szCs w:val="24"/>
        </w:rPr>
        <w:t xml:space="preserve"> (ebből egyéni 712)</w:t>
      </w:r>
      <w:r>
        <w:rPr>
          <w:sz w:val="24"/>
          <w:szCs w:val="24"/>
        </w:rPr>
        <w:t xml:space="preserve"> a</w:t>
      </w:r>
      <w:r w:rsidR="00923B0B">
        <w:rPr>
          <w:sz w:val="24"/>
          <w:szCs w:val="24"/>
        </w:rPr>
        <w:t xml:space="preserve"> 21 848 regisztrált (ebből 20 963 egyéni) vállalkozás közül.</w:t>
      </w:r>
      <w:r>
        <w:rPr>
          <w:sz w:val="24"/>
          <w:szCs w:val="24"/>
        </w:rPr>
        <w:t xml:space="preserve"> </w:t>
      </w:r>
    </w:p>
    <w:p w:rsidR="00A0088C" w:rsidRDefault="00A0088C" w:rsidP="00E624AF">
      <w:pPr>
        <w:spacing w:after="0"/>
        <w:jc w:val="both"/>
        <w:rPr>
          <w:sz w:val="24"/>
          <w:szCs w:val="24"/>
        </w:rPr>
      </w:pPr>
    </w:p>
    <w:p w:rsidR="00A0088C" w:rsidRDefault="00A0088C" w:rsidP="00E624AF">
      <w:pPr>
        <w:spacing w:after="0"/>
        <w:jc w:val="both"/>
        <w:rPr>
          <w:sz w:val="24"/>
          <w:szCs w:val="24"/>
        </w:rPr>
      </w:pPr>
      <w:r w:rsidRPr="00A0088C">
        <w:rPr>
          <w:noProof/>
          <w:sz w:val="24"/>
          <w:szCs w:val="24"/>
          <w:lang w:eastAsia="hu-HU"/>
        </w:rPr>
        <w:drawing>
          <wp:inline distT="0" distB="0" distL="0" distR="0">
            <wp:extent cx="5760720" cy="3022952"/>
            <wp:effectExtent l="19050" t="0" r="11430" b="5998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4B71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 w:rsidRPr="002D4B71">
        <w:rPr>
          <w:i/>
          <w:sz w:val="24"/>
          <w:szCs w:val="24"/>
        </w:rPr>
        <w:t>Forrás: KSH</w:t>
      </w:r>
    </w:p>
    <w:p w:rsidR="00A0088C" w:rsidRDefault="00A0088C" w:rsidP="002D4B71">
      <w:pPr>
        <w:spacing w:after="0"/>
        <w:jc w:val="right"/>
        <w:rPr>
          <w:sz w:val="24"/>
          <w:szCs w:val="24"/>
        </w:rPr>
      </w:pPr>
    </w:p>
    <w:p w:rsidR="00A0088C" w:rsidRDefault="00A0088C" w:rsidP="00E624AF">
      <w:pPr>
        <w:spacing w:after="0"/>
        <w:jc w:val="both"/>
        <w:rPr>
          <w:sz w:val="24"/>
          <w:szCs w:val="24"/>
        </w:rPr>
      </w:pPr>
    </w:p>
    <w:p w:rsidR="00A0088C" w:rsidRDefault="00A0088C" w:rsidP="00E624AF">
      <w:pPr>
        <w:spacing w:after="0"/>
        <w:jc w:val="both"/>
        <w:rPr>
          <w:sz w:val="24"/>
          <w:szCs w:val="24"/>
        </w:rPr>
      </w:pPr>
      <w:r w:rsidRPr="00A0088C">
        <w:rPr>
          <w:noProof/>
          <w:sz w:val="24"/>
          <w:szCs w:val="24"/>
          <w:lang w:eastAsia="hu-HU"/>
        </w:rPr>
        <w:drawing>
          <wp:inline distT="0" distB="0" distL="0" distR="0">
            <wp:extent cx="5760720" cy="3054217"/>
            <wp:effectExtent l="19050" t="0" r="1143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4B71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 w:rsidRPr="002D4B71">
        <w:rPr>
          <w:i/>
          <w:sz w:val="24"/>
          <w:szCs w:val="24"/>
        </w:rPr>
        <w:t>Forrás: KSH</w:t>
      </w:r>
    </w:p>
    <w:p w:rsidR="00923B0B" w:rsidRDefault="00923B0B" w:rsidP="002D4B71">
      <w:pPr>
        <w:spacing w:after="0"/>
        <w:jc w:val="right"/>
        <w:rPr>
          <w:sz w:val="24"/>
          <w:szCs w:val="24"/>
        </w:rPr>
      </w:pPr>
    </w:p>
    <w:p w:rsidR="00923B0B" w:rsidRDefault="00923B0B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Mindezzel együtt a társas vállalkozások száma folyamatosan nőtt (különösen kedvezett ennek a kft-alakítás egyszerűsítése), míg az egyéni vállalkozásoké csökkent.</w:t>
      </w:r>
      <w:r w:rsidR="00CD231E">
        <w:rPr>
          <w:sz w:val="24"/>
          <w:szCs w:val="24"/>
        </w:rPr>
        <w:t xml:space="preserve"> A folyamat azonban nem jár együtt a cégek erősödésével: míg 2010-ben 42 nagyvállalatot regisztráltak, 2011-ben már csak 36 cég alkalmazott 250 fő fölötti létszámot.</w:t>
      </w:r>
    </w:p>
    <w:p w:rsidR="001E6367" w:rsidRDefault="001E6367" w:rsidP="00E624AF">
      <w:pPr>
        <w:spacing w:after="0"/>
        <w:jc w:val="both"/>
        <w:rPr>
          <w:sz w:val="24"/>
          <w:szCs w:val="24"/>
        </w:rPr>
      </w:pPr>
    </w:p>
    <w:p w:rsidR="00CD231E" w:rsidRDefault="00CD231E" w:rsidP="00E624AF">
      <w:pPr>
        <w:spacing w:after="0"/>
        <w:jc w:val="both"/>
        <w:rPr>
          <w:sz w:val="24"/>
          <w:szCs w:val="24"/>
        </w:rPr>
      </w:pPr>
    </w:p>
    <w:p w:rsidR="00CD231E" w:rsidRDefault="00CD231E" w:rsidP="00E624AF">
      <w:pPr>
        <w:spacing w:after="0"/>
        <w:jc w:val="both"/>
        <w:rPr>
          <w:sz w:val="24"/>
          <w:szCs w:val="24"/>
        </w:rPr>
      </w:pPr>
    </w:p>
    <w:p w:rsidR="001E6367" w:rsidRPr="001E6367" w:rsidRDefault="001E6367" w:rsidP="00E624AF">
      <w:pPr>
        <w:spacing w:after="0"/>
        <w:jc w:val="both"/>
        <w:rPr>
          <w:b/>
          <w:sz w:val="24"/>
          <w:szCs w:val="24"/>
        </w:rPr>
      </w:pPr>
      <w:r w:rsidRPr="001E6367">
        <w:rPr>
          <w:b/>
          <w:sz w:val="24"/>
          <w:szCs w:val="24"/>
        </w:rPr>
        <w:lastRenderedPageBreak/>
        <w:t>A vállalkozás-csoportok részesedése a gazdasági teljesítményekben</w:t>
      </w:r>
    </w:p>
    <w:p w:rsidR="00CD231E" w:rsidRDefault="003366B9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megye gazdasági teljesítményében az egyes vállalatcsoportok részesedési aránya változó.</w:t>
      </w:r>
    </w:p>
    <w:p w:rsidR="003366B9" w:rsidRDefault="003366B9" w:rsidP="00E624AF">
      <w:pPr>
        <w:spacing w:after="0"/>
        <w:jc w:val="both"/>
        <w:rPr>
          <w:sz w:val="24"/>
          <w:szCs w:val="24"/>
        </w:rPr>
      </w:pPr>
    </w:p>
    <w:p w:rsidR="003366B9" w:rsidRDefault="003366B9" w:rsidP="003366B9">
      <w:pPr>
        <w:spacing w:after="0"/>
        <w:jc w:val="center"/>
        <w:rPr>
          <w:sz w:val="24"/>
          <w:szCs w:val="24"/>
        </w:rPr>
      </w:pPr>
      <w:r w:rsidRPr="003366B9">
        <w:rPr>
          <w:noProof/>
          <w:sz w:val="24"/>
          <w:szCs w:val="24"/>
          <w:lang w:eastAsia="hu-HU"/>
        </w:rPr>
        <w:drawing>
          <wp:inline distT="0" distB="0" distL="0" distR="0">
            <wp:extent cx="5467350" cy="285750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231E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CD231E" w:rsidRDefault="00CD231E" w:rsidP="00E624AF">
      <w:pPr>
        <w:spacing w:after="0"/>
        <w:jc w:val="both"/>
        <w:rPr>
          <w:sz w:val="24"/>
          <w:szCs w:val="24"/>
        </w:rPr>
      </w:pPr>
    </w:p>
    <w:p w:rsidR="00CD231E" w:rsidRDefault="00B936E8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Általános tapasztalat, hogy a nagyvállalatok elsősorban az exportban és az árbevételben hozzák a megyei összteljesítmény nagyobb hányadát. Hozzá kell tennünk azt is, hogy a NAV adatai természetesen csak a megyei székhelyű vállalatokra vonatkoznak, míg a multinacionális – többnyire Budapest-székhelyű – cégeké itt nem szerepel. Ezek a cégek viszont jelentős foglalkoztatók (</w:t>
      </w:r>
      <w:proofErr w:type="spellStart"/>
      <w:r>
        <w:rPr>
          <w:sz w:val="24"/>
          <w:szCs w:val="24"/>
        </w:rPr>
        <w:t>pl.MÁV</w:t>
      </w:r>
      <w:proofErr w:type="spellEnd"/>
      <w:r>
        <w:rPr>
          <w:sz w:val="24"/>
          <w:szCs w:val="24"/>
        </w:rPr>
        <w:t xml:space="preserve">), nagy </w:t>
      </w:r>
      <w:proofErr w:type="gramStart"/>
      <w:r>
        <w:rPr>
          <w:sz w:val="24"/>
          <w:szCs w:val="24"/>
        </w:rPr>
        <w:t>árbevételűek</w:t>
      </w:r>
      <w:proofErr w:type="gramEnd"/>
      <w:r>
        <w:rPr>
          <w:sz w:val="24"/>
          <w:szCs w:val="24"/>
        </w:rPr>
        <w:t xml:space="preserve"> (pl. kereskedelmi üzletláncok,bankok,biztosítók). Emellett vannak olyan ágazatok, amelyek részben az ágazati privatizáció, részben egyedi okok miatt alig rendelkeznek jelentősebb megyei székhelyű vállalattal (pl. élelmiszeripar- kenyér, tej, gabona,</w:t>
      </w:r>
      <w:r w:rsidR="00A54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hűtőipar,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). </w:t>
      </w:r>
    </w:p>
    <w:p w:rsidR="00B936E8" w:rsidRDefault="00B936E8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hosszabb távú esélyeket jelző mutatók azonban biztatóak.</w:t>
      </w:r>
      <w:r w:rsidR="00A540A1">
        <w:rPr>
          <w:sz w:val="24"/>
          <w:szCs w:val="24"/>
        </w:rPr>
        <w:t xml:space="preserve"> </w:t>
      </w:r>
    </w:p>
    <w:p w:rsidR="001E6367" w:rsidRDefault="001E6367" w:rsidP="00E624AF">
      <w:pPr>
        <w:spacing w:after="0"/>
        <w:jc w:val="both"/>
        <w:rPr>
          <w:sz w:val="24"/>
          <w:szCs w:val="24"/>
        </w:rPr>
      </w:pPr>
    </w:p>
    <w:p w:rsidR="001E6367" w:rsidRPr="001E6367" w:rsidRDefault="001E6367" w:rsidP="00E624AF">
      <w:pPr>
        <w:spacing w:after="0"/>
        <w:jc w:val="both"/>
        <w:rPr>
          <w:b/>
          <w:sz w:val="24"/>
          <w:szCs w:val="24"/>
        </w:rPr>
      </w:pPr>
      <w:r w:rsidRPr="001E6367">
        <w:rPr>
          <w:b/>
          <w:sz w:val="24"/>
          <w:szCs w:val="24"/>
        </w:rPr>
        <w:t>A vállalkozások pénzügyi helyzete</w:t>
      </w:r>
    </w:p>
    <w:p w:rsidR="00A540A1" w:rsidRDefault="001E6367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kkv szektorra változatlanul a tőkehiány a jellemző. A gazdasági válság alatt gyakorlatilag felélték a tartalékokat, a körbetartozások, a csődök miatt kifizetetlen számlák számos kisvállalkozást lenulláztak, emiatt is nőtt a regisztrált vállalkozásokon belül a nem működők száma. </w:t>
      </w:r>
    </w:p>
    <w:p w:rsidR="001E6367" w:rsidRDefault="001E6367" w:rsidP="00E624AF">
      <w:pPr>
        <w:spacing w:after="0"/>
        <w:jc w:val="both"/>
        <w:rPr>
          <w:sz w:val="24"/>
          <w:szCs w:val="24"/>
        </w:rPr>
      </w:pPr>
    </w:p>
    <w:p w:rsidR="001E6367" w:rsidRDefault="001E6367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bankok hitelezése gyakorlatilag leállt, </w:t>
      </w:r>
      <w:r w:rsidR="00B47F9D">
        <w:rPr>
          <w:sz w:val="24"/>
          <w:szCs w:val="24"/>
        </w:rPr>
        <w:t>kockázat-vállalásuk a kkv-szektor tekintetében szinte megszűnt. Még a sikere Széchenyi kártya esetén is gyakran tagadták meg a hitel hosszabbítását.</w:t>
      </w:r>
    </w:p>
    <w:p w:rsidR="00B47F9D" w:rsidRDefault="00B47F9D" w:rsidP="00E624AF">
      <w:pPr>
        <w:spacing w:after="0"/>
        <w:jc w:val="both"/>
        <w:rPr>
          <w:sz w:val="24"/>
          <w:szCs w:val="24"/>
        </w:rPr>
      </w:pPr>
    </w:p>
    <w:p w:rsidR="00B47F9D" w:rsidRDefault="00B47F9D" w:rsidP="00E624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Emiatt is nagy várakozás övezi a Magyar Nemzeti Bank 0 %-os kamattal átadott hitel-kontingensét, remélhetően a kereskedelmi bankok partnerek lesznek a 2 %-os kamatú hitelezésben, ami valóban jelentős élénkítést hozna a gazdaságba.</w:t>
      </w:r>
    </w:p>
    <w:p w:rsidR="00A540A1" w:rsidRDefault="00A540A1" w:rsidP="00A540A1">
      <w:pPr>
        <w:spacing w:after="0"/>
        <w:jc w:val="center"/>
        <w:rPr>
          <w:sz w:val="24"/>
          <w:szCs w:val="24"/>
        </w:rPr>
      </w:pPr>
      <w:r w:rsidRPr="00A540A1">
        <w:rPr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4B71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336AFC" w:rsidRDefault="00336AFC" w:rsidP="002D4B71">
      <w:pPr>
        <w:spacing w:after="0"/>
        <w:jc w:val="right"/>
        <w:rPr>
          <w:sz w:val="24"/>
          <w:szCs w:val="24"/>
        </w:rPr>
      </w:pPr>
    </w:p>
    <w:p w:rsidR="00336AFC" w:rsidRDefault="00336AFC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Bár a válság előtti szintet még egyik</w:t>
      </w:r>
      <w:r w:rsidR="00A27273">
        <w:rPr>
          <w:sz w:val="24"/>
          <w:szCs w:val="24"/>
        </w:rPr>
        <w:t xml:space="preserve"> </w:t>
      </w:r>
      <w:r>
        <w:rPr>
          <w:sz w:val="24"/>
          <w:szCs w:val="24"/>
        </w:rPr>
        <w:t>csoport sem érte el, a fejlesztésre, l</w:t>
      </w:r>
      <w:r w:rsidR="00A27273">
        <w:rPr>
          <w:sz w:val="24"/>
          <w:szCs w:val="24"/>
        </w:rPr>
        <w:t>étszámbővítésre fordítható adózo</w:t>
      </w:r>
      <w:r>
        <w:rPr>
          <w:sz w:val="24"/>
          <w:szCs w:val="24"/>
        </w:rPr>
        <w:t>tt eredmény növekedése 2010-től minden kkv-szinten megindult, a – főként egyéni vállalakozókat és családi Bt-ket magába foglaló</w:t>
      </w:r>
      <w:r w:rsidR="00A27273">
        <w:rPr>
          <w:sz w:val="24"/>
          <w:szCs w:val="24"/>
        </w:rPr>
        <w:t xml:space="preserve"> </w:t>
      </w:r>
      <w:r>
        <w:rPr>
          <w:sz w:val="24"/>
          <w:szCs w:val="24"/>
        </w:rPr>
        <w:t>mikro</w:t>
      </w:r>
      <w:r w:rsidR="00A27273">
        <w:rPr>
          <w:sz w:val="24"/>
          <w:szCs w:val="24"/>
        </w:rPr>
        <w:t>-</w:t>
      </w:r>
      <w:r>
        <w:rPr>
          <w:sz w:val="24"/>
          <w:szCs w:val="24"/>
        </w:rPr>
        <w:t xml:space="preserve">vállalkozások kivételével – a </w:t>
      </w:r>
      <w:r w:rsidR="00A27273">
        <w:rPr>
          <w:sz w:val="24"/>
          <w:szCs w:val="24"/>
        </w:rPr>
        <w:t>2007-es szinthez közelít. (megjegyezzük, hogy a nagyvállalatok eredménye még mindig negatív, a veszteségek ledolgozásánál tartanak, ott viszont a fejlesztési döntések nem feltétlenül az adott magyarországi cég adatai alapján születnek meg, a források sem feltétlenül csak innen származnak.)</w:t>
      </w:r>
    </w:p>
    <w:p w:rsidR="00A27273" w:rsidRDefault="00A27273" w:rsidP="00336AFC">
      <w:pPr>
        <w:spacing w:after="0"/>
        <w:jc w:val="both"/>
        <w:rPr>
          <w:sz w:val="24"/>
          <w:szCs w:val="24"/>
        </w:rPr>
      </w:pPr>
    </w:p>
    <w:p w:rsidR="00A27273" w:rsidRDefault="00A27273" w:rsidP="00336AFC">
      <w:pPr>
        <w:spacing w:after="0"/>
        <w:jc w:val="both"/>
        <w:rPr>
          <w:b/>
          <w:i/>
          <w:sz w:val="24"/>
          <w:szCs w:val="24"/>
        </w:rPr>
      </w:pPr>
      <w:r w:rsidRPr="00B25775">
        <w:rPr>
          <w:b/>
          <w:i/>
          <w:sz w:val="24"/>
          <w:szCs w:val="24"/>
        </w:rPr>
        <w:t>Széchenyi kártya tapasztalatai</w:t>
      </w:r>
    </w:p>
    <w:p w:rsidR="00E20212" w:rsidRPr="00B25775" w:rsidRDefault="00E20212" w:rsidP="00336AFC">
      <w:pPr>
        <w:spacing w:after="0"/>
        <w:jc w:val="both"/>
        <w:rPr>
          <w:b/>
          <w:i/>
          <w:sz w:val="24"/>
          <w:szCs w:val="24"/>
        </w:rPr>
      </w:pPr>
    </w:p>
    <w:p w:rsidR="00E20212" w:rsidRDefault="00E20212" w:rsidP="00E20212">
      <w:pPr>
        <w:spacing w:after="0"/>
        <w:jc w:val="both"/>
        <w:rPr>
          <w:sz w:val="24"/>
          <w:szCs w:val="24"/>
        </w:rPr>
      </w:pPr>
      <w:r w:rsidRPr="005C226A">
        <w:rPr>
          <w:sz w:val="24"/>
          <w:szCs w:val="24"/>
        </w:rPr>
        <w:t xml:space="preserve">A KKV-k likvid tőkéhez </w:t>
      </w:r>
      <w:r>
        <w:rPr>
          <w:sz w:val="24"/>
          <w:szCs w:val="24"/>
        </w:rPr>
        <w:t>–</w:t>
      </w:r>
      <w:r w:rsidRPr="005C226A">
        <w:rPr>
          <w:sz w:val="24"/>
          <w:szCs w:val="24"/>
        </w:rPr>
        <w:t xml:space="preserve"> a Matolcsy György által bejelentett hitelezés élénkítő csomag elindulásáig </w:t>
      </w:r>
      <w:r>
        <w:rPr>
          <w:sz w:val="24"/>
          <w:szCs w:val="24"/>
        </w:rPr>
        <w:t>–</w:t>
      </w:r>
      <w:r w:rsidRPr="005C226A">
        <w:rPr>
          <w:sz w:val="24"/>
          <w:szCs w:val="24"/>
        </w:rPr>
        <w:t xml:space="preserve"> legkönnyebben a Széchenyi kártya által juthatnak. Míg 2012-ben nagyon pesszimista volt még a hangulat, ez 2013-ra enyhülni látszik, a vállalkozások egyre bizakodóbbak, és nagy várakozással üdvözölnek minden kormányzati lépést, mely a forráshoz jutást segíti. </w:t>
      </w:r>
    </w:p>
    <w:p w:rsidR="00E20212" w:rsidRDefault="00E20212" w:rsidP="00E20212">
      <w:pPr>
        <w:spacing w:after="0"/>
        <w:jc w:val="both"/>
        <w:rPr>
          <w:sz w:val="24"/>
          <w:szCs w:val="24"/>
        </w:rPr>
      </w:pPr>
      <w:r w:rsidRPr="005C226A">
        <w:rPr>
          <w:sz w:val="24"/>
          <w:szCs w:val="24"/>
        </w:rPr>
        <w:t xml:space="preserve">A legnagyobb gondot még mindig az jelenti, hogy az induló vállalkozások – különösen a kistelepüléseken – gyakorlatilag semmilyen segítséget, forrást nem kapnak, hiszen a hitelezéshez a bankok olyan fedezeti feltételeket szabnak, melyeket </w:t>
      </w:r>
      <w:proofErr w:type="gramStart"/>
      <w:r w:rsidRPr="005C226A">
        <w:rPr>
          <w:sz w:val="24"/>
          <w:szCs w:val="24"/>
        </w:rPr>
        <w:t>ezen</w:t>
      </w:r>
      <w:proofErr w:type="gramEnd"/>
      <w:r w:rsidRPr="005C226A">
        <w:rPr>
          <w:sz w:val="24"/>
          <w:szCs w:val="24"/>
        </w:rPr>
        <w:t xml:space="preserve"> vállalkozások nem tudnak </w:t>
      </w:r>
      <w:r>
        <w:rPr>
          <w:sz w:val="24"/>
          <w:szCs w:val="24"/>
        </w:rPr>
        <w:t>teljesíteni</w:t>
      </w:r>
      <w:r w:rsidRPr="005C226A">
        <w:rPr>
          <w:sz w:val="24"/>
          <w:szCs w:val="24"/>
        </w:rPr>
        <w:t xml:space="preserve">. </w:t>
      </w:r>
    </w:p>
    <w:p w:rsidR="00E20212" w:rsidRPr="005C226A" w:rsidRDefault="00E20212" w:rsidP="00E20212">
      <w:pPr>
        <w:spacing w:after="0"/>
        <w:jc w:val="both"/>
        <w:rPr>
          <w:sz w:val="24"/>
          <w:szCs w:val="24"/>
        </w:rPr>
      </w:pPr>
      <w:r w:rsidRPr="005C226A">
        <w:rPr>
          <w:sz w:val="24"/>
          <w:szCs w:val="24"/>
        </w:rPr>
        <w:t xml:space="preserve">Az elmúlt évben a megyében működő KKV-k tekintetében is tisztult a gazdaság képe, hiszen az elhúzódó válság, és a kötelező kamarai regisztráció kapcsán sok csak névleg létező vállalkozást szüntettek meg, sok tevékenységet nem végző egyéni vállalkozást számoltak fel a tulajdonosok. </w:t>
      </w:r>
    </w:p>
    <w:p w:rsidR="00E20212" w:rsidRPr="005C226A" w:rsidRDefault="00E20212" w:rsidP="00E20212">
      <w:pPr>
        <w:spacing w:after="0"/>
        <w:jc w:val="both"/>
        <w:rPr>
          <w:sz w:val="24"/>
          <w:szCs w:val="24"/>
        </w:rPr>
      </w:pPr>
      <w:r w:rsidRPr="005C226A">
        <w:rPr>
          <w:sz w:val="24"/>
          <w:szCs w:val="24"/>
        </w:rPr>
        <w:t xml:space="preserve">A megmaradt, ténylegesen működő vállalkozások azonban középtávon is csak akkor lesznek termelőképesek, ha a vállalati hitelezés beindul. Érdemes lenne megfontolni a kormányzati szereplőknek, hogy az MNB vállalkozásfejlesztési forrásainak kihelyezését a KAVOSZ </w:t>
      </w:r>
      <w:r w:rsidRPr="005C226A">
        <w:rPr>
          <w:sz w:val="24"/>
          <w:szCs w:val="24"/>
        </w:rPr>
        <w:lastRenderedPageBreak/>
        <w:t xml:space="preserve">meglévő, működő bázisának felhasználásával folyósítsák, már csak abból a szempontból is, hogy ha a program sikeres lesz, és esetleg a későbbiekben kiterjesztésre kerül, akkor sokkal jobb feltételek mellett juthatnak majd hozzá a vállalkozások, mint a Széchenyi Kártyához, melynek kamata jelenleg az alapkamat+4% körül mozog. </w:t>
      </w:r>
      <w:r>
        <w:rPr>
          <w:sz w:val="24"/>
          <w:szCs w:val="24"/>
        </w:rPr>
        <w:t>A gazdaság fejlesztését leginkább az szolgálná, ha az MNB forrásai elsősorban beruházásra lennének igényelhetők, és így elkülönülnének az elsősorban likviditási biztonságot nyújtó Széchenyi Kártyától.</w:t>
      </w:r>
    </w:p>
    <w:p w:rsidR="00E20212" w:rsidRDefault="00E20212" w:rsidP="00336AFC">
      <w:pPr>
        <w:spacing w:after="0"/>
        <w:jc w:val="both"/>
        <w:rPr>
          <w:b/>
          <w:sz w:val="24"/>
          <w:szCs w:val="24"/>
        </w:rPr>
      </w:pPr>
    </w:p>
    <w:p w:rsidR="00A27273" w:rsidRDefault="00B25775" w:rsidP="00336AFC">
      <w:pPr>
        <w:spacing w:after="0"/>
        <w:jc w:val="both"/>
        <w:rPr>
          <w:b/>
          <w:sz w:val="24"/>
          <w:szCs w:val="24"/>
        </w:rPr>
      </w:pPr>
      <w:r w:rsidRPr="00B25775">
        <w:rPr>
          <w:b/>
          <w:sz w:val="24"/>
          <w:szCs w:val="24"/>
        </w:rPr>
        <w:t>A kkv-szektor piaci helyzete</w:t>
      </w:r>
    </w:p>
    <w:p w:rsidR="00F53361" w:rsidRDefault="00F53361" w:rsidP="00336AFC">
      <w:pPr>
        <w:spacing w:after="0"/>
        <w:jc w:val="both"/>
        <w:rPr>
          <w:sz w:val="24"/>
          <w:szCs w:val="24"/>
        </w:rPr>
      </w:pPr>
    </w:p>
    <w:p w:rsidR="00F53361" w:rsidRDefault="00F53361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kis- és középvállalkozások elsősorban hazai piacon értékesítik termékeiket, szolgáltatásaikat. Jelentős hányaduk kifejezetten a lakosság számára dolgozik, többnyire a megyén vagy akár a városon belül. Így a kkv-k piaci lehetőségeit erősen korlátozza a lakosság anyagi helyzete, különösen igaz ez a kereskedőkre, szolgáltatókra.</w:t>
      </w:r>
    </w:p>
    <w:p w:rsidR="00F53361" w:rsidRDefault="00F53361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gazdasági válság lakosságot ért hatása így visszatükröződik a kkv-k belföldi értékesítésének alakulásában is.</w:t>
      </w:r>
    </w:p>
    <w:p w:rsidR="00B47F9D" w:rsidRDefault="00B47F9D" w:rsidP="00336AFC">
      <w:pPr>
        <w:spacing w:after="0"/>
        <w:jc w:val="both"/>
        <w:rPr>
          <w:sz w:val="24"/>
          <w:szCs w:val="24"/>
        </w:rPr>
      </w:pPr>
    </w:p>
    <w:p w:rsidR="00F53361" w:rsidRDefault="00B47F9D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legjelentősebb piac-vesztést az egyéni vállalkozók szenvedték el, jó részük valószínűleg véglegesen befejezi a tevékenységét. </w:t>
      </w:r>
    </w:p>
    <w:p w:rsidR="00E20212" w:rsidRDefault="00E20212" w:rsidP="00336AFC">
      <w:pPr>
        <w:spacing w:after="0"/>
        <w:jc w:val="both"/>
        <w:rPr>
          <w:sz w:val="24"/>
          <w:szCs w:val="24"/>
        </w:rPr>
      </w:pPr>
    </w:p>
    <w:p w:rsidR="00F53361" w:rsidRDefault="00F53361" w:rsidP="00F53361">
      <w:pPr>
        <w:spacing w:after="0"/>
        <w:jc w:val="center"/>
        <w:rPr>
          <w:sz w:val="24"/>
          <w:szCs w:val="24"/>
        </w:rPr>
      </w:pPr>
      <w:r w:rsidRPr="00F53361">
        <w:rPr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19050" t="0" r="19050" b="0"/>
            <wp:docPr id="6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4B71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F53361" w:rsidRDefault="00F53361" w:rsidP="002D4B71">
      <w:pPr>
        <w:spacing w:after="0"/>
        <w:jc w:val="right"/>
        <w:rPr>
          <w:sz w:val="24"/>
          <w:szCs w:val="24"/>
        </w:rPr>
      </w:pPr>
    </w:p>
    <w:p w:rsidR="00F53361" w:rsidRDefault="00F53361" w:rsidP="00F533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legnagyobb visszaesést a mikro-vállalkozások szenvedték el, de az erősebb kis- illetve közép-vállalkozások sem érték még el a válság előtti szintet.</w:t>
      </w:r>
    </w:p>
    <w:p w:rsidR="00F53361" w:rsidRDefault="00F53361" w:rsidP="00F533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Azon cégek, amelyek más vállalkozások számára termelnek, szolgáltatnak, szintén a fizetőképes kereslet csökkenésével találkoztak, helyzetüket tovább rontja a körbetartozások kiterjedt jelenléte. </w:t>
      </w:r>
    </w:p>
    <w:p w:rsidR="00F53361" w:rsidRDefault="00F53361" w:rsidP="00F533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belföldi piaci lehetőségeket </w:t>
      </w:r>
      <w:r w:rsidR="004800FE">
        <w:rPr>
          <w:sz w:val="24"/>
          <w:szCs w:val="24"/>
        </w:rPr>
        <w:t>elsősorban a tudatos vásárlással, a helyi vállalkozások, termékek, szolgáltatások pozitív megkülönböztetésével, preferálásával lehet javítani.</w:t>
      </w:r>
    </w:p>
    <w:p w:rsidR="004800FE" w:rsidRDefault="004800FE" w:rsidP="00F53361">
      <w:pPr>
        <w:spacing w:after="0"/>
        <w:jc w:val="both"/>
        <w:rPr>
          <w:sz w:val="24"/>
          <w:szCs w:val="24"/>
        </w:rPr>
      </w:pPr>
    </w:p>
    <w:p w:rsidR="004800FE" w:rsidRDefault="004800FE" w:rsidP="00F533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kkv szektor viszonylag kis hányada képes nemzetközi piacokon megjelenni. Ezek viszont éppen a kisebb méretből adódó rugalmasságuk, illetve a piaci réseket megtaláló speciális termék-szerkezetük miatt a válság ellenére is stabilizálódtak illetve növekedtek. </w:t>
      </w:r>
    </w:p>
    <w:p w:rsidR="004800FE" w:rsidRDefault="004800FE" w:rsidP="00F53361">
      <w:pPr>
        <w:spacing w:after="0"/>
        <w:jc w:val="both"/>
        <w:rPr>
          <w:sz w:val="24"/>
          <w:szCs w:val="24"/>
        </w:rPr>
      </w:pPr>
    </w:p>
    <w:p w:rsidR="004800FE" w:rsidRDefault="004800FE" w:rsidP="004800FE">
      <w:pPr>
        <w:spacing w:after="0"/>
        <w:jc w:val="center"/>
        <w:rPr>
          <w:sz w:val="24"/>
          <w:szCs w:val="24"/>
        </w:rPr>
      </w:pPr>
      <w:r w:rsidRPr="004800FE">
        <w:rPr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19050" t="0" r="19050" b="0"/>
            <wp:docPr id="7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4B71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Forrás: NAV TOP 100</w:t>
      </w:r>
    </w:p>
    <w:p w:rsidR="004800FE" w:rsidRDefault="004800FE" w:rsidP="002D4B71">
      <w:pPr>
        <w:spacing w:after="0"/>
        <w:jc w:val="right"/>
        <w:rPr>
          <w:sz w:val="24"/>
          <w:szCs w:val="24"/>
        </w:rPr>
      </w:pPr>
    </w:p>
    <w:p w:rsidR="004800FE" w:rsidRDefault="004800FE" w:rsidP="004800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Számukra különösen fontos a beszállítói láncokba való bekerülés, illetve a környező országok, elsősorban a Kárpát-medence piacainak meghódítása. A Kárpát-medencei gazdaság-fejlesztés, a sorra alakuló vegyes kamarák ezt a terjeszkedést segítik elő. </w:t>
      </w:r>
    </w:p>
    <w:p w:rsidR="00B47F9D" w:rsidRDefault="00B47F9D" w:rsidP="004800FE">
      <w:pPr>
        <w:spacing w:after="0"/>
        <w:jc w:val="both"/>
        <w:rPr>
          <w:sz w:val="24"/>
          <w:szCs w:val="24"/>
        </w:rPr>
      </w:pPr>
    </w:p>
    <w:p w:rsidR="004800FE" w:rsidRDefault="00B47F9D" w:rsidP="004800FE">
      <w:pPr>
        <w:spacing w:after="0"/>
        <w:jc w:val="both"/>
        <w:rPr>
          <w:sz w:val="24"/>
          <w:szCs w:val="24"/>
        </w:rPr>
      </w:pPr>
      <w:r w:rsidRPr="00B47F9D">
        <w:rPr>
          <w:b/>
          <w:sz w:val="24"/>
          <w:szCs w:val="24"/>
        </w:rPr>
        <w:t>A kkv-k szerepe a foglalkoztatásban</w:t>
      </w:r>
    </w:p>
    <w:p w:rsidR="004800FE" w:rsidRDefault="004800FE" w:rsidP="004800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kis- és közép-vállalkozások legnagyobb szerepe a foglalkoztatásban van. </w:t>
      </w:r>
    </w:p>
    <w:p w:rsidR="009F39A9" w:rsidRDefault="009F39A9" w:rsidP="004800FE">
      <w:pPr>
        <w:spacing w:after="0"/>
        <w:jc w:val="both"/>
        <w:rPr>
          <w:sz w:val="24"/>
          <w:szCs w:val="24"/>
        </w:rPr>
      </w:pPr>
    </w:p>
    <w:p w:rsidR="009F39A9" w:rsidRDefault="009F39A9" w:rsidP="009F39A9">
      <w:pPr>
        <w:spacing w:after="0"/>
        <w:jc w:val="center"/>
        <w:rPr>
          <w:sz w:val="24"/>
          <w:szCs w:val="24"/>
        </w:rPr>
      </w:pPr>
      <w:r w:rsidRPr="009F39A9">
        <w:rPr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19050" t="0" r="19050" b="0"/>
            <wp:docPr id="8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5A93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 w:rsidRPr="002D4B71">
        <w:rPr>
          <w:i/>
          <w:sz w:val="24"/>
          <w:szCs w:val="24"/>
        </w:rPr>
        <w:t>Forrás: KSH</w:t>
      </w:r>
    </w:p>
    <w:p w:rsidR="001E6367" w:rsidRDefault="00B25A93" w:rsidP="00B25A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verseny-szektorban ez a réteg foglalkoztatja az emberek 60 %-át, ami alacsonyabb arány, mint </w:t>
      </w:r>
      <w:proofErr w:type="spellStart"/>
      <w:r>
        <w:rPr>
          <w:sz w:val="24"/>
          <w:szCs w:val="24"/>
        </w:rPr>
        <w:t>jónéhány</w:t>
      </w:r>
      <w:proofErr w:type="spellEnd"/>
      <w:r>
        <w:rPr>
          <w:sz w:val="24"/>
          <w:szCs w:val="24"/>
        </w:rPr>
        <w:t xml:space="preserve"> évvel ezelőtt. A visszaesést a válság okozta piac-csökkenés okozta. Ahhoz, hogy több embernek adjanak munkát, a</w:t>
      </w:r>
      <w:r w:rsidR="001E6367">
        <w:rPr>
          <w:sz w:val="24"/>
          <w:szCs w:val="24"/>
        </w:rPr>
        <w:t xml:space="preserve"> </w:t>
      </w:r>
      <w:r>
        <w:rPr>
          <w:sz w:val="24"/>
          <w:szCs w:val="24"/>
        </w:rPr>
        <w:t>megrendeléseknek, a fogyasztásnak kell nőnie. Ezért is stratégiai kérdés a helyi vállalkozások preferálása.</w:t>
      </w:r>
    </w:p>
    <w:p w:rsidR="00E20212" w:rsidRDefault="00E20212" w:rsidP="00B25A93">
      <w:pPr>
        <w:spacing w:after="0"/>
        <w:jc w:val="both"/>
        <w:rPr>
          <w:sz w:val="24"/>
          <w:szCs w:val="24"/>
        </w:rPr>
      </w:pPr>
    </w:p>
    <w:p w:rsidR="001E6367" w:rsidRDefault="001E6367" w:rsidP="001E6367">
      <w:pPr>
        <w:spacing w:after="0"/>
        <w:jc w:val="center"/>
        <w:rPr>
          <w:sz w:val="24"/>
          <w:szCs w:val="24"/>
        </w:rPr>
      </w:pPr>
      <w:r w:rsidRPr="001E6367">
        <w:rPr>
          <w:noProof/>
          <w:sz w:val="24"/>
          <w:szCs w:val="24"/>
          <w:lang w:eastAsia="hu-HU"/>
        </w:rPr>
        <w:drawing>
          <wp:inline distT="0" distB="0" distL="0" distR="0">
            <wp:extent cx="4572000" cy="2743200"/>
            <wp:effectExtent l="19050" t="0" r="19050" b="0"/>
            <wp:docPr id="9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4B71" w:rsidRPr="002D4B71" w:rsidRDefault="002D4B71" w:rsidP="002D4B71">
      <w:pPr>
        <w:spacing w:after="0"/>
        <w:jc w:val="right"/>
        <w:rPr>
          <w:i/>
          <w:sz w:val="24"/>
          <w:szCs w:val="24"/>
        </w:rPr>
      </w:pPr>
      <w:r w:rsidRPr="002D4B71">
        <w:rPr>
          <w:i/>
          <w:sz w:val="24"/>
          <w:szCs w:val="24"/>
        </w:rPr>
        <w:t>Forrás: KSH</w:t>
      </w:r>
    </w:p>
    <w:p w:rsidR="001E6367" w:rsidRDefault="001E6367" w:rsidP="002D4B71">
      <w:pPr>
        <w:spacing w:after="0"/>
        <w:jc w:val="right"/>
        <w:rPr>
          <w:sz w:val="24"/>
          <w:szCs w:val="24"/>
        </w:rPr>
      </w:pPr>
    </w:p>
    <w:p w:rsidR="00B47F9D" w:rsidRDefault="00B47F9D" w:rsidP="001E6367">
      <w:pPr>
        <w:spacing w:after="0"/>
        <w:jc w:val="center"/>
        <w:rPr>
          <w:sz w:val="24"/>
          <w:szCs w:val="24"/>
        </w:rPr>
      </w:pPr>
    </w:p>
    <w:p w:rsidR="00B47F9D" w:rsidRDefault="00B47F9D" w:rsidP="001E6367">
      <w:pPr>
        <w:spacing w:after="0"/>
        <w:jc w:val="center"/>
        <w:rPr>
          <w:sz w:val="24"/>
          <w:szCs w:val="24"/>
        </w:rPr>
      </w:pPr>
    </w:p>
    <w:p w:rsidR="00B47F9D" w:rsidRDefault="00B47F9D" w:rsidP="00B47F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megyén belül elsősorban a hátrányos helyzetű kistérségekben jelentős a munkanélküliség, mivel itt alig vannak nagyobb létszámot foglalkoztatni tudó vállalkozások. </w:t>
      </w:r>
    </w:p>
    <w:p w:rsidR="00B47F9D" w:rsidRDefault="00B47F9D" w:rsidP="00B47F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év elején bejelentett Szabad Vállalkozási Zónák éppen a munkabérekhez kapcsolódó terhek csökkentése miatt jelenthetnek kedvező helyzetet </w:t>
      </w:r>
      <w:r w:rsidR="008E3757">
        <w:rPr>
          <w:sz w:val="24"/>
          <w:szCs w:val="24"/>
        </w:rPr>
        <w:t>újabb vállalkozások megjelenéséhez, letelepedéséhez. Jelenleg még nemigen látszik a pozitív hatás, valószínűleg a feltételek további javítása és erőteljesebb kommunikáció is szükséges a fordulat eléréséhez.</w:t>
      </w:r>
    </w:p>
    <w:p w:rsidR="001E6367" w:rsidRPr="00F53361" w:rsidRDefault="001E6367" w:rsidP="001E6367">
      <w:pPr>
        <w:spacing w:after="0"/>
        <w:jc w:val="both"/>
        <w:rPr>
          <w:sz w:val="24"/>
          <w:szCs w:val="24"/>
        </w:rPr>
      </w:pPr>
    </w:p>
    <w:p w:rsidR="00A27273" w:rsidRDefault="008E3757" w:rsidP="00336AFC">
      <w:pPr>
        <w:spacing w:after="0"/>
        <w:jc w:val="both"/>
        <w:rPr>
          <w:b/>
          <w:sz w:val="24"/>
          <w:szCs w:val="24"/>
        </w:rPr>
      </w:pPr>
      <w:r w:rsidRPr="008E3757">
        <w:rPr>
          <w:b/>
          <w:sz w:val="24"/>
          <w:szCs w:val="24"/>
        </w:rPr>
        <w:t>Összefoglalva</w:t>
      </w:r>
    </w:p>
    <w:p w:rsidR="008E3757" w:rsidRDefault="008E3757" w:rsidP="00336AFC">
      <w:pPr>
        <w:spacing w:after="0"/>
        <w:jc w:val="both"/>
        <w:rPr>
          <w:b/>
          <w:sz w:val="24"/>
          <w:szCs w:val="24"/>
        </w:rPr>
      </w:pPr>
    </w:p>
    <w:p w:rsidR="008E3757" w:rsidRDefault="008E3757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megyében működő kis- és középvállalkozások egy része már túljutott a válságon, lassú megerősödésük kezdődött el, de a válság előtti szintet még nem érték el. A megerősödést visszaveti a megye lakosságának általános szegénysége, alacsony fizetőképessége. </w:t>
      </w:r>
    </w:p>
    <w:p w:rsidR="008E3757" w:rsidRDefault="008E3757" w:rsidP="00336AFC">
      <w:pPr>
        <w:spacing w:after="0"/>
        <w:jc w:val="both"/>
        <w:rPr>
          <w:sz w:val="24"/>
          <w:szCs w:val="24"/>
        </w:rPr>
      </w:pPr>
    </w:p>
    <w:p w:rsidR="008E3757" w:rsidRDefault="008E3757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2013-as évben bevezetett intézkedések (kedvező kisvállalkozói adózás, Szabad Vállalkozói Zónák, alacsony kamatú hitelcsomag) hatása várhatóan pozitív lesz. Nagyon lényeges, hogy a 2014-től kezdődő hét éves időszakban az EU-források 60 %-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 gazdaság élénkítésére fordítódik majd, remélhetően egy sokkal hatékonyabb és lényegesen kevesebb adminisztrációt és bürokráciát tartalmazó támogatási rendszerrel.</w:t>
      </w:r>
    </w:p>
    <w:p w:rsidR="00EF34E0" w:rsidRDefault="00EF34E0" w:rsidP="00336AFC">
      <w:pPr>
        <w:spacing w:after="0"/>
        <w:jc w:val="both"/>
        <w:rPr>
          <w:sz w:val="24"/>
          <w:szCs w:val="24"/>
        </w:rPr>
      </w:pPr>
    </w:p>
    <w:p w:rsidR="00EF34E0" w:rsidRPr="008E3757" w:rsidRDefault="00EF34E0" w:rsidP="00336A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Ezzel együtt a gazdaság fejlődése érdekében továbbra is hangsúlyoznunk kell a helyi vállalkozások preferenciáját, hiszen csak piaci lehetőségek birtokában tudnak erősödni, újabb munkahelyeket létrehozni. </w:t>
      </w:r>
    </w:p>
    <w:sectPr w:rsidR="00EF34E0" w:rsidRPr="008E3757" w:rsidSect="00974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4AF"/>
    <w:rsid w:val="000070BD"/>
    <w:rsid w:val="000153A1"/>
    <w:rsid w:val="00112745"/>
    <w:rsid w:val="001E6367"/>
    <w:rsid w:val="002D4B71"/>
    <w:rsid w:val="003366B9"/>
    <w:rsid w:val="00336AFC"/>
    <w:rsid w:val="004800FE"/>
    <w:rsid w:val="008602AB"/>
    <w:rsid w:val="00897CA6"/>
    <w:rsid w:val="008E3757"/>
    <w:rsid w:val="00902106"/>
    <w:rsid w:val="00923B0B"/>
    <w:rsid w:val="0097460E"/>
    <w:rsid w:val="00991197"/>
    <w:rsid w:val="009F39A9"/>
    <w:rsid w:val="00A0088C"/>
    <w:rsid w:val="00A27273"/>
    <w:rsid w:val="00A540A1"/>
    <w:rsid w:val="00B25775"/>
    <w:rsid w:val="00B25A93"/>
    <w:rsid w:val="00B47F9D"/>
    <w:rsid w:val="00B936E8"/>
    <w:rsid w:val="00C25949"/>
    <w:rsid w:val="00CD231E"/>
    <w:rsid w:val="00E20212"/>
    <w:rsid w:val="00E624AF"/>
    <w:rsid w:val="00EA1397"/>
    <w:rsid w:val="00EF34E0"/>
    <w:rsid w:val="00F277D7"/>
    <w:rsid w:val="00F5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6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V&#225;llalkoz&#225;sok\V&#225;llalkoz&#225;sok%20sz&#225;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V&#225;llalkoz&#225;sok\V&#225;llalkoz&#225;sok%20sz&#225;m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V&#225;llalkoz&#225;sok\V&#225;llalkoz&#225;sok%20sz&#225;m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cuments\ID&#336;SOROK\M&#233;retnagys&#225;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/>
            </a:pPr>
            <a:r>
              <a:rPr lang="hu-HU"/>
              <a:t>Regisztrált és működő vállalkozások száma</a:t>
            </a:r>
          </a:p>
        </c:rich>
      </c:tx>
      <c:layout>
        <c:manualLayout>
          <c:xMode val="edge"/>
          <c:yMode val="edge"/>
          <c:x val="0.174514991181658"/>
          <c:y val="6.4309857824112013E-2"/>
        </c:manualLayout>
      </c:layout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'Vállalkozások száma KSH BAZ'!$B$15</c:f>
              <c:strCache>
                <c:ptCount val="1"/>
                <c:pt idx="0">
                  <c:v>Regisztr.</c:v>
                </c:pt>
              </c:strCache>
            </c:strRef>
          </c:tx>
          <c:cat>
            <c:numRef>
              <c:f>'Vállalkozások száma KSH BAZ'!$C$14:$O$14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'Vállalkozások száma KSH BAZ'!$C$15:$O$15</c:f>
              <c:numCache>
                <c:formatCode>#,##0</c:formatCode>
                <c:ptCount val="13"/>
                <c:pt idx="0">
                  <c:v>55021</c:v>
                </c:pt>
                <c:pt idx="1">
                  <c:v>56443</c:v>
                </c:pt>
                <c:pt idx="2">
                  <c:v>58594</c:v>
                </c:pt>
                <c:pt idx="3">
                  <c:v>60324</c:v>
                </c:pt>
                <c:pt idx="4">
                  <c:v>61737</c:v>
                </c:pt>
                <c:pt idx="5">
                  <c:v>62405</c:v>
                </c:pt>
                <c:pt idx="6">
                  <c:v>60650</c:v>
                </c:pt>
                <c:pt idx="7">
                  <c:v>62258</c:v>
                </c:pt>
                <c:pt idx="8">
                  <c:v>78063</c:v>
                </c:pt>
                <c:pt idx="9">
                  <c:v>79022</c:v>
                </c:pt>
                <c:pt idx="10">
                  <c:v>80791</c:v>
                </c:pt>
                <c:pt idx="11">
                  <c:v>83217</c:v>
                </c:pt>
                <c:pt idx="12">
                  <c:v>83030</c:v>
                </c:pt>
              </c:numCache>
            </c:numRef>
          </c:val>
        </c:ser>
        <c:ser>
          <c:idx val="1"/>
          <c:order val="1"/>
          <c:tx>
            <c:strRef>
              <c:f>'Vállalkozások száma KSH BAZ'!$B$16</c:f>
              <c:strCache>
                <c:ptCount val="1"/>
                <c:pt idx="0">
                  <c:v>Működő</c:v>
                </c:pt>
              </c:strCache>
            </c:strRef>
          </c:tx>
          <c:cat>
            <c:numRef>
              <c:f>'Vállalkozások száma KSH BAZ'!$C$14:$O$14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'Vállalkozások száma KSH BAZ'!$C$16:$O$16</c:f>
              <c:numCache>
                <c:formatCode>#,##0</c:formatCode>
                <c:ptCount val="13"/>
                <c:pt idx="0">
                  <c:v>30427</c:v>
                </c:pt>
                <c:pt idx="1">
                  <c:v>31615</c:v>
                </c:pt>
                <c:pt idx="2">
                  <c:v>33685</c:v>
                </c:pt>
                <c:pt idx="3">
                  <c:v>33810</c:v>
                </c:pt>
                <c:pt idx="4">
                  <c:v>34143</c:v>
                </c:pt>
                <c:pt idx="5">
                  <c:v>34019</c:v>
                </c:pt>
                <c:pt idx="6">
                  <c:v>33219</c:v>
                </c:pt>
                <c:pt idx="7">
                  <c:v>32599</c:v>
                </c:pt>
                <c:pt idx="8">
                  <c:v>32770</c:v>
                </c:pt>
                <c:pt idx="9">
                  <c:v>31943</c:v>
                </c:pt>
                <c:pt idx="10">
                  <c:v>32090</c:v>
                </c:pt>
              </c:numCache>
            </c:numRef>
          </c:val>
        </c:ser>
        <c:shape val="cylinder"/>
        <c:axId val="65468672"/>
        <c:axId val="66326528"/>
        <c:axId val="0"/>
      </c:bar3DChart>
      <c:catAx>
        <c:axId val="65468672"/>
        <c:scaling>
          <c:orientation val="minMax"/>
        </c:scaling>
        <c:axPos val="l"/>
        <c:numFmt formatCode="General" sourceLinked="1"/>
        <c:majorTickMark val="none"/>
        <c:tickLblPos val="nextTo"/>
        <c:crossAx val="66326528"/>
        <c:crosses val="autoZero"/>
        <c:auto val="1"/>
        <c:lblAlgn val="ctr"/>
        <c:lblOffset val="100"/>
      </c:catAx>
      <c:valAx>
        <c:axId val="66326528"/>
        <c:scaling>
          <c:orientation val="minMax"/>
        </c:scaling>
        <c:axPos val="b"/>
        <c:majorGridlines/>
        <c:numFmt formatCode="#,##0" sourceLinked="1"/>
        <c:majorTickMark val="none"/>
        <c:tickLblPos val="nextTo"/>
        <c:crossAx val="654686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Társas vállalkozások</a:t>
            </a:r>
          </a:p>
        </c:rich>
      </c:tx>
      <c:layout/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Munka2!$A$3</c:f>
              <c:strCache>
                <c:ptCount val="1"/>
                <c:pt idx="0">
                  <c:v>Reg</c:v>
                </c:pt>
              </c:strCache>
            </c:strRef>
          </c:tx>
          <c:cat>
            <c:numRef>
              <c:f>Munka2!$B$2:$N$2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Munka2!$B$3:$N$3</c:f>
              <c:numCache>
                <c:formatCode>#,##0</c:formatCode>
                <c:ptCount val="13"/>
                <c:pt idx="0">
                  <c:v>17578</c:v>
                </c:pt>
                <c:pt idx="1">
                  <c:v>17994</c:v>
                </c:pt>
                <c:pt idx="2">
                  <c:v>18673</c:v>
                </c:pt>
                <c:pt idx="3">
                  <c:v>19419</c:v>
                </c:pt>
                <c:pt idx="4">
                  <c:v>20146</c:v>
                </c:pt>
                <c:pt idx="5">
                  <c:v>20738</c:v>
                </c:pt>
                <c:pt idx="6">
                  <c:v>21229</c:v>
                </c:pt>
                <c:pt idx="7">
                  <c:v>21907</c:v>
                </c:pt>
                <c:pt idx="8">
                  <c:v>22639</c:v>
                </c:pt>
                <c:pt idx="9">
                  <c:v>23119</c:v>
                </c:pt>
                <c:pt idx="10">
                  <c:v>23765</c:v>
                </c:pt>
                <c:pt idx="11">
                  <c:v>23017</c:v>
                </c:pt>
                <c:pt idx="12">
                  <c:v>22655</c:v>
                </c:pt>
              </c:numCache>
            </c:numRef>
          </c:val>
        </c:ser>
        <c:ser>
          <c:idx val="1"/>
          <c:order val="1"/>
          <c:tx>
            <c:strRef>
              <c:f>Munka2!$A$4</c:f>
              <c:strCache>
                <c:ptCount val="1"/>
                <c:pt idx="0">
                  <c:v>Műk</c:v>
                </c:pt>
              </c:strCache>
            </c:strRef>
          </c:tx>
          <c:cat>
            <c:numRef>
              <c:f>Munka2!$B$2:$N$2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Munka2!$B$4:$N$4</c:f>
              <c:numCache>
                <c:formatCode>#,##0</c:formatCode>
                <c:ptCount val="13"/>
                <c:pt idx="0">
                  <c:v>11316</c:v>
                </c:pt>
                <c:pt idx="1">
                  <c:v>12058</c:v>
                </c:pt>
                <c:pt idx="2">
                  <c:v>12692</c:v>
                </c:pt>
                <c:pt idx="3">
                  <c:v>13104</c:v>
                </c:pt>
                <c:pt idx="4">
                  <c:v>13631</c:v>
                </c:pt>
                <c:pt idx="5">
                  <c:v>13739</c:v>
                </c:pt>
                <c:pt idx="6">
                  <c:v>14153</c:v>
                </c:pt>
                <c:pt idx="7">
                  <c:v>14428</c:v>
                </c:pt>
                <c:pt idx="8">
                  <c:v>14873</c:v>
                </c:pt>
                <c:pt idx="9">
                  <c:v>15081</c:v>
                </c:pt>
                <c:pt idx="10">
                  <c:v>15226</c:v>
                </c:pt>
              </c:numCache>
            </c:numRef>
          </c:val>
        </c:ser>
        <c:shape val="box"/>
        <c:axId val="66361216"/>
        <c:axId val="66362752"/>
        <c:axId val="0"/>
      </c:bar3DChart>
      <c:catAx>
        <c:axId val="66361216"/>
        <c:scaling>
          <c:orientation val="minMax"/>
        </c:scaling>
        <c:axPos val="l"/>
        <c:numFmt formatCode="General" sourceLinked="1"/>
        <c:majorTickMark val="none"/>
        <c:tickLblPos val="nextTo"/>
        <c:crossAx val="66362752"/>
        <c:crosses val="autoZero"/>
        <c:auto val="1"/>
        <c:lblAlgn val="ctr"/>
        <c:lblOffset val="100"/>
      </c:catAx>
      <c:valAx>
        <c:axId val="66362752"/>
        <c:scaling>
          <c:orientation val="minMax"/>
        </c:scaling>
        <c:axPos val="b"/>
        <c:majorGridlines/>
        <c:numFmt formatCode="#,##0" sourceLinked="1"/>
        <c:majorTickMark val="none"/>
        <c:tickLblPos val="nextTo"/>
        <c:crossAx val="66361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Egyéni vállalkozások</a:t>
            </a:r>
          </a:p>
        </c:rich>
      </c:tx>
      <c:layout/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Munka2!$A$9</c:f>
              <c:strCache>
                <c:ptCount val="1"/>
                <c:pt idx="0">
                  <c:v>Reg</c:v>
                </c:pt>
              </c:strCache>
            </c:strRef>
          </c:tx>
          <c:cat>
            <c:numRef>
              <c:f>Munka2!$B$8:$N$8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Munka2!$B$9:$N$9</c:f>
              <c:numCache>
                <c:formatCode>#,##0</c:formatCode>
                <c:ptCount val="13"/>
                <c:pt idx="0">
                  <c:v>32025</c:v>
                </c:pt>
                <c:pt idx="1">
                  <c:v>32943</c:v>
                </c:pt>
                <c:pt idx="2">
                  <c:v>34381</c:v>
                </c:pt>
                <c:pt idx="3">
                  <c:v>34960</c:v>
                </c:pt>
                <c:pt idx="4">
                  <c:v>35355</c:v>
                </c:pt>
                <c:pt idx="5">
                  <c:v>35276</c:v>
                </c:pt>
                <c:pt idx="6">
                  <c:v>32866</c:v>
                </c:pt>
                <c:pt idx="7">
                  <c:v>33915</c:v>
                </c:pt>
                <c:pt idx="8">
                  <c:v>49008</c:v>
                </c:pt>
                <c:pt idx="9">
                  <c:v>49511</c:v>
                </c:pt>
                <c:pt idx="10">
                  <c:v>50351</c:v>
                </c:pt>
                <c:pt idx="11">
                  <c:v>51668</c:v>
                </c:pt>
                <c:pt idx="12">
                  <c:v>51846</c:v>
                </c:pt>
              </c:numCache>
            </c:numRef>
          </c:val>
        </c:ser>
        <c:ser>
          <c:idx val="1"/>
          <c:order val="1"/>
          <c:tx>
            <c:strRef>
              <c:f>Munka2!$A$10</c:f>
              <c:strCache>
                <c:ptCount val="1"/>
                <c:pt idx="0">
                  <c:v>Műk</c:v>
                </c:pt>
              </c:strCache>
            </c:strRef>
          </c:tx>
          <c:cat>
            <c:numRef>
              <c:f>Munka2!$B$8:$N$8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Munka2!$B$10:$N$10</c:f>
              <c:numCache>
                <c:formatCode>#,##0</c:formatCode>
                <c:ptCount val="13"/>
                <c:pt idx="0">
                  <c:v>19111</c:v>
                </c:pt>
                <c:pt idx="1">
                  <c:v>19557</c:v>
                </c:pt>
                <c:pt idx="2">
                  <c:v>20993</c:v>
                </c:pt>
                <c:pt idx="3">
                  <c:v>20706</c:v>
                </c:pt>
                <c:pt idx="4">
                  <c:v>20512</c:v>
                </c:pt>
                <c:pt idx="5">
                  <c:v>20280</c:v>
                </c:pt>
                <c:pt idx="6">
                  <c:v>19066</c:v>
                </c:pt>
                <c:pt idx="7">
                  <c:v>18171</c:v>
                </c:pt>
                <c:pt idx="8">
                  <c:v>17897</c:v>
                </c:pt>
                <c:pt idx="9">
                  <c:v>16862</c:v>
                </c:pt>
                <c:pt idx="10">
                  <c:v>16864</c:v>
                </c:pt>
              </c:numCache>
            </c:numRef>
          </c:val>
        </c:ser>
        <c:shape val="box"/>
        <c:axId val="66434560"/>
        <c:axId val="66436096"/>
        <c:axId val="0"/>
      </c:bar3DChart>
      <c:catAx>
        <c:axId val="66434560"/>
        <c:scaling>
          <c:orientation val="minMax"/>
        </c:scaling>
        <c:axPos val="l"/>
        <c:numFmt formatCode="General" sourceLinked="1"/>
        <c:majorTickMark val="none"/>
        <c:tickLblPos val="nextTo"/>
        <c:crossAx val="66436096"/>
        <c:crosses val="autoZero"/>
        <c:auto val="1"/>
        <c:lblAlgn val="ctr"/>
        <c:lblOffset val="100"/>
      </c:catAx>
      <c:valAx>
        <c:axId val="66436096"/>
        <c:scaling>
          <c:orientation val="minMax"/>
        </c:scaling>
        <c:axPos val="b"/>
        <c:majorGridlines/>
        <c:numFmt formatCode="#,##0" sourceLinked="1"/>
        <c:majorTickMark val="none"/>
        <c:tickLblPos val="nextTo"/>
        <c:crossAx val="664345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/>
            </a:pPr>
            <a:r>
              <a:rPr lang="hu-HU"/>
              <a:t>Egyes vállalati méretű csoportok teljesítmény megoszlása</a:t>
            </a:r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Munka8!$A$22</c:f>
              <c:strCache>
                <c:ptCount val="1"/>
                <c:pt idx="0">
                  <c:v>Mikro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Munka8!$B$22:$I$22</c:f>
              <c:numCache>
                <c:formatCode>General</c:formatCode>
                <c:ptCount val="8"/>
                <c:pt idx="0">
                  <c:v>10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  <c:pt idx="4">
                  <c:v>13</c:v>
                </c:pt>
                <c:pt idx="5">
                  <c:v>13</c:v>
                </c:pt>
                <c:pt idx="6">
                  <c:v>24</c:v>
                </c:pt>
                <c:pt idx="7">
                  <c:v>23</c:v>
                </c:pt>
              </c:numCache>
            </c:numRef>
          </c:val>
        </c:ser>
        <c:ser>
          <c:idx val="1"/>
          <c:order val="1"/>
          <c:tx>
            <c:strRef>
              <c:f>Munka8!$A$23</c:f>
              <c:strCache>
                <c:ptCount val="1"/>
                <c:pt idx="0">
                  <c:v>Kis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Munka8!$B$23:$I$23</c:f>
              <c:numCache>
                <c:formatCode>General</c:formatCode>
                <c:ptCount val="8"/>
                <c:pt idx="0">
                  <c:v>12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15</c:v>
                </c:pt>
                <c:pt idx="5">
                  <c:v>15</c:v>
                </c:pt>
                <c:pt idx="6">
                  <c:v>22</c:v>
                </c:pt>
                <c:pt idx="7">
                  <c:v>20</c:v>
                </c:pt>
              </c:numCache>
            </c:numRef>
          </c:val>
        </c:ser>
        <c:ser>
          <c:idx val="2"/>
          <c:order val="2"/>
          <c:tx>
            <c:strRef>
              <c:f>Munka8!$A$24</c:f>
              <c:strCache>
                <c:ptCount val="1"/>
                <c:pt idx="0">
                  <c:v>Közép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Munka8!$B$24:$I$24</c:f>
              <c:numCache>
                <c:formatCode>General</c:formatCode>
                <c:ptCount val="8"/>
                <c:pt idx="0">
                  <c:v>13</c:v>
                </c:pt>
                <c:pt idx="1">
                  <c:v>14</c:v>
                </c:pt>
                <c:pt idx="2">
                  <c:v>9</c:v>
                </c:pt>
                <c:pt idx="3">
                  <c:v>8</c:v>
                </c:pt>
                <c:pt idx="4">
                  <c:v>18</c:v>
                </c:pt>
                <c:pt idx="5">
                  <c:v>20</c:v>
                </c:pt>
                <c:pt idx="6">
                  <c:v>20</c:v>
                </c:pt>
                <c:pt idx="7">
                  <c:v>21</c:v>
                </c:pt>
              </c:numCache>
            </c:numRef>
          </c:val>
        </c:ser>
        <c:ser>
          <c:idx val="3"/>
          <c:order val="3"/>
          <c:tx>
            <c:strRef>
              <c:f>Munka8!$A$25</c:f>
              <c:strCache>
                <c:ptCount val="1"/>
                <c:pt idx="0">
                  <c:v>Nagy</c:v>
                </c:pt>
              </c:strCache>
            </c:strRef>
          </c:tx>
          <c:cat>
            <c:multiLvlStrRef>
              <c:f>Munka8!$B$20:$I$21</c:f>
              <c:multiLvlStrCache>
                <c:ptCount val="8"/>
                <c:lvl>
                  <c:pt idx="0">
                    <c:v>2010</c:v>
                  </c:pt>
                  <c:pt idx="1">
                    <c:v>2011</c:v>
                  </c:pt>
                  <c:pt idx="2">
                    <c:v>2010</c:v>
                  </c:pt>
                  <c:pt idx="3">
                    <c:v>2011</c:v>
                  </c:pt>
                  <c:pt idx="4">
                    <c:v>2010</c:v>
                  </c:pt>
                  <c:pt idx="5">
                    <c:v>2011</c:v>
                  </c:pt>
                  <c:pt idx="6">
                    <c:v>2010</c:v>
                  </c:pt>
                  <c:pt idx="7">
                    <c:v>2011</c:v>
                  </c:pt>
                </c:lvl>
                <c:lvl>
                  <c:pt idx="0">
                    <c:v>Nettó árbev</c:v>
                  </c:pt>
                  <c:pt idx="2">
                    <c:v>Export</c:v>
                  </c:pt>
                  <c:pt idx="4">
                    <c:v>Hozzáadott érték</c:v>
                  </c:pt>
                  <c:pt idx="6">
                    <c:v>Létszám</c:v>
                  </c:pt>
                </c:lvl>
              </c:multiLvlStrCache>
            </c:multiLvlStrRef>
          </c:cat>
          <c:val>
            <c:numRef>
              <c:f>Munka8!$B$25:$I$25</c:f>
              <c:numCache>
                <c:formatCode>General</c:formatCode>
                <c:ptCount val="8"/>
                <c:pt idx="0">
                  <c:v>65</c:v>
                </c:pt>
                <c:pt idx="1">
                  <c:v>66</c:v>
                </c:pt>
                <c:pt idx="2">
                  <c:v>88</c:v>
                </c:pt>
                <c:pt idx="3">
                  <c:v>89</c:v>
                </c:pt>
                <c:pt idx="4">
                  <c:v>54</c:v>
                </c:pt>
                <c:pt idx="5">
                  <c:v>52</c:v>
                </c:pt>
                <c:pt idx="6">
                  <c:v>34</c:v>
                </c:pt>
                <c:pt idx="7">
                  <c:v>36</c:v>
                </c:pt>
              </c:numCache>
            </c:numRef>
          </c:val>
        </c:ser>
        <c:gapWidth val="95"/>
        <c:overlap val="100"/>
        <c:axId val="66537728"/>
        <c:axId val="66547712"/>
      </c:barChart>
      <c:catAx>
        <c:axId val="66537728"/>
        <c:scaling>
          <c:orientation val="minMax"/>
        </c:scaling>
        <c:axPos val="b"/>
        <c:majorTickMark val="none"/>
        <c:tickLblPos val="nextTo"/>
        <c:crossAx val="66547712"/>
        <c:crosses val="autoZero"/>
        <c:auto val="1"/>
        <c:lblAlgn val="ctr"/>
        <c:lblOffset val="100"/>
      </c:catAx>
      <c:valAx>
        <c:axId val="665477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65377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Adózott er</a:t>
            </a:r>
            <a:r>
              <a:rPr lang="hu-HU"/>
              <a:t>e</a:t>
            </a:r>
            <a:r>
              <a:rPr lang="en-US"/>
              <a:t>dmény a kkv szektorban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'Adózott eredmény'!$A$2</c:f>
              <c:strCache>
                <c:ptCount val="1"/>
                <c:pt idx="0">
                  <c:v>Mikro</c:v>
                </c:pt>
              </c:strCache>
            </c:strRef>
          </c:tx>
          <c:cat>
            <c:numRef>
              <c:f>'Adózott eredmény'!$B$1:$G$1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'Adózott eredmény'!$B$2:$G$2</c:f>
              <c:numCache>
                <c:formatCode>General</c:formatCode>
                <c:ptCount val="6"/>
                <c:pt idx="0">
                  <c:v>17295</c:v>
                </c:pt>
                <c:pt idx="1">
                  <c:v>14445</c:v>
                </c:pt>
                <c:pt idx="2">
                  <c:v>8575</c:v>
                </c:pt>
                <c:pt idx="3">
                  <c:v>3519</c:v>
                </c:pt>
                <c:pt idx="4">
                  <c:v>5956</c:v>
                </c:pt>
                <c:pt idx="5">
                  <c:v>7787</c:v>
                </c:pt>
              </c:numCache>
            </c:numRef>
          </c:val>
        </c:ser>
        <c:ser>
          <c:idx val="1"/>
          <c:order val="1"/>
          <c:tx>
            <c:strRef>
              <c:f>'Adózott eredmény'!$A$3</c:f>
              <c:strCache>
                <c:ptCount val="1"/>
                <c:pt idx="0">
                  <c:v>Kis</c:v>
                </c:pt>
              </c:strCache>
            </c:strRef>
          </c:tx>
          <c:cat>
            <c:numRef>
              <c:f>'Adózott eredmény'!$B$1:$G$1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'Adózott eredmény'!$B$3:$G$3</c:f>
              <c:numCache>
                <c:formatCode>General</c:formatCode>
                <c:ptCount val="6"/>
                <c:pt idx="0">
                  <c:v>11475</c:v>
                </c:pt>
                <c:pt idx="1">
                  <c:v>12567</c:v>
                </c:pt>
                <c:pt idx="2">
                  <c:v>10245</c:v>
                </c:pt>
                <c:pt idx="3">
                  <c:v>6600</c:v>
                </c:pt>
                <c:pt idx="4">
                  <c:v>9842</c:v>
                </c:pt>
                <c:pt idx="5">
                  <c:v>11149</c:v>
                </c:pt>
              </c:numCache>
            </c:numRef>
          </c:val>
        </c:ser>
        <c:ser>
          <c:idx val="2"/>
          <c:order val="2"/>
          <c:tx>
            <c:strRef>
              <c:f>'Adózott eredmény'!$A$4</c:f>
              <c:strCache>
                <c:ptCount val="1"/>
                <c:pt idx="0">
                  <c:v>Közép</c:v>
                </c:pt>
              </c:strCache>
            </c:strRef>
          </c:tx>
          <c:cat>
            <c:numRef>
              <c:f>'Adózott eredmény'!$B$1:$G$1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'Adózott eredmény'!$B$4:$G$4</c:f>
              <c:numCache>
                <c:formatCode>General</c:formatCode>
                <c:ptCount val="6"/>
                <c:pt idx="0">
                  <c:v>22694</c:v>
                </c:pt>
                <c:pt idx="1">
                  <c:v>11810</c:v>
                </c:pt>
                <c:pt idx="2">
                  <c:v>8736</c:v>
                </c:pt>
                <c:pt idx="3">
                  <c:v>3234</c:v>
                </c:pt>
                <c:pt idx="4">
                  <c:v>6793</c:v>
                </c:pt>
                <c:pt idx="5">
                  <c:v>11972</c:v>
                </c:pt>
              </c:numCache>
            </c:numRef>
          </c:val>
        </c:ser>
        <c:shape val="cylinder"/>
        <c:axId val="66567168"/>
        <c:axId val="66573056"/>
        <c:axId val="0"/>
      </c:bar3DChart>
      <c:catAx>
        <c:axId val="66567168"/>
        <c:scaling>
          <c:orientation val="minMax"/>
        </c:scaling>
        <c:axPos val="b"/>
        <c:numFmt formatCode="General" sourceLinked="1"/>
        <c:majorTickMark val="none"/>
        <c:tickLblPos val="nextTo"/>
        <c:crossAx val="66573056"/>
        <c:crosses val="autoZero"/>
        <c:auto val="1"/>
        <c:lblAlgn val="ctr"/>
        <c:lblOffset val="100"/>
      </c:catAx>
      <c:valAx>
        <c:axId val="665730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MFt/év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6567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Belföldi értékesítés - kkv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Export!$A$101</c:f>
              <c:strCache>
                <c:ptCount val="1"/>
                <c:pt idx="0">
                  <c:v>Közép</c:v>
                </c:pt>
              </c:strCache>
            </c:strRef>
          </c:tx>
          <c:cat>
            <c:numRef>
              <c:f>Export!$B$100:$F$100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Export!$B$101:$F$101</c:f>
              <c:numCache>
                <c:formatCode>General</c:formatCode>
                <c:ptCount val="5"/>
                <c:pt idx="0">
                  <c:v>324395</c:v>
                </c:pt>
                <c:pt idx="1">
                  <c:v>310827</c:v>
                </c:pt>
                <c:pt idx="2">
                  <c:v>239888</c:v>
                </c:pt>
                <c:pt idx="3">
                  <c:v>248958</c:v>
                </c:pt>
                <c:pt idx="4">
                  <c:v>296252</c:v>
                </c:pt>
              </c:numCache>
            </c:numRef>
          </c:val>
        </c:ser>
        <c:ser>
          <c:idx val="1"/>
          <c:order val="1"/>
          <c:tx>
            <c:strRef>
              <c:f>Export!$A$102</c:f>
              <c:strCache>
                <c:ptCount val="1"/>
                <c:pt idx="0">
                  <c:v>Kis</c:v>
                </c:pt>
              </c:strCache>
            </c:strRef>
          </c:tx>
          <c:cat>
            <c:numRef>
              <c:f>Export!$B$100:$F$100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Export!$B$102:$F$102</c:f>
              <c:numCache>
                <c:formatCode>General</c:formatCode>
                <c:ptCount val="5"/>
                <c:pt idx="0">
                  <c:v>324395</c:v>
                </c:pt>
                <c:pt idx="1">
                  <c:v>310827</c:v>
                </c:pt>
                <c:pt idx="2">
                  <c:v>239888</c:v>
                </c:pt>
                <c:pt idx="3">
                  <c:v>248958</c:v>
                </c:pt>
                <c:pt idx="4">
                  <c:v>296252</c:v>
                </c:pt>
              </c:numCache>
            </c:numRef>
          </c:val>
        </c:ser>
        <c:ser>
          <c:idx val="2"/>
          <c:order val="2"/>
          <c:tx>
            <c:strRef>
              <c:f>Export!$A$103</c:f>
              <c:strCache>
                <c:ptCount val="1"/>
                <c:pt idx="0">
                  <c:v>Mikro</c:v>
                </c:pt>
              </c:strCache>
            </c:strRef>
          </c:tx>
          <c:cat>
            <c:numRef>
              <c:f>Export!$B$100:$F$100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Export!$B$103:$F$103</c:f>
              <c:numCache>
                <c:formatCode>General</c:formatCode>
                <c:ptCount val="5"/>
                <c:pt idx="0">
                  <c:v>374497</c:v>
                </c:pt>
                <c:pt idx="1">
                  <c:v>268148</c:v>
                </c:pt>
                <c:pt idx="2">
                  <c:v>259970</c:v>
                </c:pt>
                <c:pt idx="3">
                  <c:v>262759</c:v>
                </c:pt>
                <c:pt idx="4">
                  <c:v>266044</c:v>
                </c:pt>
              </c:numCache>
            </c:numRef>
          </c:val>
        </c:ser>
        <c:shape val="box"/>
        <c:axId val="66494464"/>
        <c:axId val="66496000"/>
        <c:axId val="0"/>
      </c:bar3DChart>
      <c:catAx>
        <c:axId val="66494464"/>
        <c:scaling>
          <c:orientation val="minMax"/>
        </c:scaling>
        <c:axPos val="b"/>
        <c:numFmt formatCode="General" sourceLinked="1"/>
        <c:majorTickMark val="none"/>
        <c:tickLblPos val="nextTo"/>
        <c:crossAx val="66496000"/>
        <c:crosses val="autoZero"/>
        <c:auto val="1"/>
        <c:lblAlgn val="ctr"/>
        <c:lblOffset val="100"/>
      </c:catAx>
      <c:valAx>
        <c:axId val="664960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Mft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64944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Export-bevételek</a:t>
            </a:r>
            <a:r>
              <a:rPr lang="hu-HU"/>
              <a:t> - kkv</a:t>
            </a:r>
            <a:endParaRPr lang="en-US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Export!$A$94</c:f>
              <c:strCache>
                <c:ptCount val="1"/>
                <c:pt idx="0">
                  <c:v>Közép</c:v>
                </c:pt>
              </c:strCache>
            </c:strRef>
          </c:tx>
          <c:cat>
            <c:numRef>
              <c:f>Export!$B$93:$F$93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Export!$B$94:$F$94</c:f>
              <c:numCache>
                <c:formatCode>General</c:formatCode>
                <c:ptCount val="5"/>
                <c:pt idx="0">
                  <c:v>80351</c:v>
                </c:pt>
                <c:pt idx="1">
                  <c:v>80591</c:v>
                </c:pt>
                <c:pt idx="2">
                  <c:v>69038</c:v>
                </c:pt>
                <c:pt idx="3">
                  <c:v>90253</c:v>
                </c:pt>
                <c:pt idx="4">
                  <c:v>108899</c:v>
                </c:pt>
              </c:numCache>
            </c:numRef>
          </c:val>
        </c:ser>
        <c:ser>
          <c:idx val="1"/>
          <c:order val="1"/>
          <c:tx>
            <c:strRef>
              <c:f>Export!$A$95</c:f>
              <c:strCache>
                <c:ptCount val="1"/>
                <c:pt idx="0">
                  <c:v>Kis</c:v>
                </c:pt>
              </c:strCache>
            </c:strRef>
          </c:tx>
          <c:cat>
            <c:numRef>
              <c:f>Export!$B$93:$F$93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Export!$B$95:$F$95</c:f>
              <c:numCache>
                <c:formatCode>General</c:formatCode>
                <c:ptCount val="5"/>
                <c:pt idx="0">
                  <c:v>20245</c:v>
                </c:pt>
                <c:pt idx="1">
                  <c:v>24207</c:v>
                </c:pt>
                <c:pt idx="2">
                  <c:v>24122</c:v>
                </c:pt>
                <c:pt idx="3">
                  <c:v>21020</c:v>
                </c:pt>
                <c:pt idx="4">
                  <c:v>24858</c:v>
                </c:pt>
              </c:numCache>
            </c:numRef>
          </c:val>
        </c:ser>
        <c:ser>
          <c:idx val="2"/>
          <c:order val="2"/>
          <c:tx>
            <c:strRef>
              <c:f>Export!$A$96</c:f>
              <c:strCache>
                <c:ptCount val="1"/>
                <c:pt idx="0">
                  <c:v>Mikro</c:v>
                </c:pt>
              </c:strCache>
            </c:strRef>
          </c:tx>
          <c:cat>
            <c:numRef>
              <c:f>Export!$B$93:$F$93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Export!$B$96:$F$96</c:f>
              <c:numCache>
                <c:formatCode>General</c:formatCode>
                <c:ptCount val="5"/>
                <c:pt idx="0">
                  <c:v>29620</c:v>
                </c:pt>
                <c:pt idx="1">
                  <c:v>5745</c:v>
                </c:pt>
                <c:pt idx="2">
                  <c:v>7142</c:v>
                </c:pt>
                <c:pt idx="3">
                  <c:v>8453</c:v>
                </c:pt>
                <c:pt idx="4">
                  <c:v>9270</c:v>
                </c:pt>
              </c:numCache>
            </c:numRef>
          </c:val>
        </c:ser>
        <c:shape val="box"/>
        <c:axId val="66667264"/>
        <c:axId val="66668800"/>
        <c:axId val="0"/>
      </c:bar3DChart>
      <c:catAx>
        <c:axId val="66667264"/>
        <c:scaling>
          <c:orientation val="minMax"/>
        </c:scaling>
        <c:axPos val="b"/>
        <c:numFmt formatCode="General" sourceLinked="1"/>
        <c:majorTickMark val="none"/>
        <c:tickLblPos val="nextTo"/>
        <c:crossAx val="66668800"/>
        <c:crosses val="autoZero"/>
        <c:auto val="1"/>
        <c:lblAlgn val="ctr"/>
        <c:lblOffset val="100"/>
      </c:catAx>
      <c:valAx>
        <c:axId val="666688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MFt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666672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Foglalkoztatottak aránya</a:t>
            </a:r>
            <a:r>
              <a:rPr lang="hu-HU"/>
              <a:t> 2011</a:t>
            </a:r>
          </a:p>
          <a:p>
            <a:pPr>
              <a:defRPr/>
            </a:pPr>
            <a:endParaRPr lang="en-US"/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Munka9!$A$11:$A$14</c:f>
              <c:strCache>
                <c:ptCount val="4"/>
                <c:pt idx="0">
                  <c:v>Mikro</c:v>
                </c:pt>
                <c:pt idx="1">
                  <c:v>Kis</c:v>
                </c:pt>
                <c:pt idx="2">
                  <c:v>Közép</c:v>
                </c:pt>
                <c:pt idx="3">
                  <c:v>Nagy</c:v>
                </c:pt>
              </c:strCache>
            </c:strRef>
          </c:cat>
          <c:val>
            <c:numRef>
              <c:f>Munka9!$B$11:$B$14</c:f>
              <c:numCache>
                <c:formatCode>General</c:formatCode>
                <c:ptCount val="4"/>
                <c:pt idx="0">
                  <c:v>27291</c:v>
                </c:pt>
                <c:pt idx="1">
                  <c:v>20689</c:v>
                </c:pt>
                <c:pt idx="2">
                  <c:v>22462</c:v>
                </c:pt>
                <c:pt idx="3">
                  <c:v>46221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/>
            </a:pPr>
            <a:r>
              <a:rPr lang="en-US"/>
              <a:t>A kkv szektorban foglalkoztatottak ágazati megoszlása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Munka9!$A$32:$A$36</c:f>
              <c:strCache>
                <c:ptCount val="5"/>
                <c:pt idx="0">
                  <c:v>Mezőgazdaság</c:v>
                </c:pt>
                <c:pt idx="1">
                  <c:v>Ipar</c:v>
                </c:pt>
                <c:pt idx="2">
                  <c:v>Kereskedelem</c:v>
                </c:pt>
                <c:pt idx="3">
                  <c:v>Szállítás</c:v>
                </c:pt>
                <c:pt idx="4">
                  <c:v>Egyéb</c:v>
                </c:pt>
              </c:strCache>
            </c:strRef>
          </c:cat>
          <c:val>
            <c:numRef>
              <c:f>Munka9!$B$32:$B$36</c:f>
              <c:numCache>
                <c:formatCode>General</c:formatCode>
                <c:ptCount val="5"/>
                <c:pt idx="0">
                  <c:v>4176</c:v>
                </c:pt>
                <c:pt idx="1">
                  <c:v>21327</c:v>
                </c:pt>
                <c:pt idx="2">
                  <c:v>15087</c:v>
                </c:pt>
                <c:pt idx="3">
                  <c:v>3337</c:v>
                </c:pt>
                <c:pt idx="4">
                  <c:v>29823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75789-A8B3-4413-9F26-766584F8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1231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juhasz.gabor</cp:lastModifiedBy>
  <cp:revision>4</cp:revision>
  <dcterms:created xsi:type="dcterms:W3CDTF">2013-04-12T08:49:00Z</dcterms:created>
  <dcterms:modified xsi:type="dcterms:W3CDTF">2013-04-16T06:44:00Z</dcterms:modified>
</cp:coreProperties>
</file>