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B2" w:rsidRDefault="00532BB2" w:rsidP="00532BB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2013. évi CCXLIII. törvény</w:t>
      </w:r>
    </w:p>
    <w:p w:rsidR="00532BB2" w:rsidRDefault="00532BB2" w:rsidP="00532BB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az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egyes igazságügyi, jogállási és belügyi tárgyú törvények módosításáról</w:t>
      </w:r>
    </w:p>
    <w:p w:rsidR="00532BB2" w:rsidRDefault="00532BB2" w:rsidP="00532BB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8. A gazdasági kamarákról szóló 1999. évi CXXI. törvény módosítása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 § </w:t>
      </w:r>
      <w:r>
        <w:rPr>
          <w:rFonts w:ascii="Times New Roman" w:hAnsi="Times New Roman" w:cs="Times New Roman"/>
          <w:sz w:val="20"/>
          <w:szCs w:val="20"/>
        </w:rPr>
        <w:t xml:space="preserve">(1) A gazdasági kamarákról szóló 1999. évi CXXI. törvény (a továbbiakban: </w:t>
      </w:r>
      <w:proofErr w:type="spellStart"/>
      <w:r>
        <w:rPr>
          <w:rFonts w:ascii="Times New Roman" w:hAnsi="Times New Roman" w:cs="Times New Roman"/>
          <w:sz w:val="20"/>
          <w:szCs w:val="20"/>
        </w:rPr>
        <w:t>Gkt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.) 2. §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>pontja helyébe a következő rendelkezés lép: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(E törvény alkalmazásában)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>gazdálkodó szervezet: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aa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a gazdasági társaság, az egyéni cég, az egyesülés, az egyes jogi személyek vállalata, a leányvállalat, a külföldi székhelyű vállalkozás magyarországi fióktelepe, a lakásszövetkezet kivételével a szövetkezet, az egyéni vállalkozó, amely nem minősül a Magyar Agrár-, Élelmiszergazdasági és Vidékfejlesztési Kamaráról szóló 2012. évi CXXVI. törvény 2. §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r>
        <w:rPr>
          <w:rFonts w:ascii="Times New Roman" w:hAnsi="Times New Roman" w:cs="Times New Roman"/>
          <w:sz w:val="20"/>
          <w:szCs w:val="20"/>
        </w:rPr>
        <w:t>pontja alapján az agrárkamara tagjának;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ab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az élelmiszerlánc-felügyeleti információs rendszerben nyilvántartott és az agrárgazdasági tevékenységet nem főtevékenységként folytató gazdálkodó szervezet is, az egyéni vállalkozót is beleértve;”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(2) A </w:t>
      </w:r>
      <w:proofErr w:type="spellStart"/>
      <w:r>
        <w:rPr>
          <w:rFonts w:ascii="Times New Roman" w:hAnsi="Times New Roman" w:cs="Times New Roman"/>
          <w:sz w:val="20"/>
          <w:szCs w:val="20"/>
        </w:rPr>
        <w:t>Gkt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2. §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e) </w:t>
      </w:r>
      <w:r>
        <w:rPr>
          <w:rFonts w:ascii="Times New Roman" w:hAnsi="Times New Roman" w:cs="Times New Roman"/>
          <w:sz w:val="20"/>
          <w:szCs w:val="20"/>
        </w:rPr>
        <w:t>pontja helyébe a következő rendelkezés lép: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(E törvény alkalmazásában)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e) </w:t>
      </w:r>
      <w:r>
        <w:rPr>
          <w:rFonts w:ascii="Times New Roman" w:hAnsi="Times New Roman" w:cs="Times New Roman"/>
          <w:sz w:val="20"/>
          <w:szCs w:val="20"/>
        </w:rPr>
        <w:t>országos gazdasági érdek-képviseleti szervezet: gazdasági érdek-képviseleti célra létrehozott olyan egyesület, illetve egyesületek szövetsége, amelynek legalább 10 megyére vagy legalább 9 megyére és a fővárosra kiterjedően van tagsága;”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(3) A </w:t>
      </w:r>
      <w:proofErr w:type="spellStart"/>
      <w:r>
        <w:rPr>
          <w:rFonts w:ascii="Times New Roman" w:hAnsi="Times New Roman" w:cs="Times New Roman"/>
          <w:sz w:val="20"/>
          <w:szCs w:val="20"/>
        </w:rPr>
        <w:t>Gkt</w:t>
      </w:r>
      <w:proofErr w:type="spellEnd"/>
      <w:r>
        <w:rPr>
          <w:rFonts w:ascii="Times New Roman" w:hAnsi="Times New Roman" w:cs="Times New Roman"/>
          <w:sz w:val="20"/>
          <w:szCs w:val="20"/>
        </w:rPr>
        <w:t>. 8/A. §</w:t>
      </w:r>
      <w:proofErr w:type="spellStart"/>
      <w:r>
        <w:rPr>
          <w:rFonts w:ascii="Times New Roman" w:hAnsi="Times New Roman" w:cs="Times New Roman"/>
          <w:sz w:val="20"/>
          <w:szCs w:val="20"/>
        </w:rPr>
        <w:t>-a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helyébe a következő rendelkezés lép: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„8/A. § (1) A cégbejegyzésre kötelezett gazdálkodó szervezet a cégjegyzékbe való bejegyzését, az egyéni vállalkozó a külön jogszabályban meghatározott bejelentés alapján történő nyilvántartásba vételét követő öt munkanapon belül köteles a székhelye szerint illetékes területi gazdasági kamaránál a kamarai nyilvántartásba való bejegyzését kérni.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(2) A kamarai nyilvántartás a gazdálkodó szervezet alábbi adatait tartalmazza: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név;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székhely, </w:t>
      </w:r>
      <w:proofErr w:type="gramStart"/>
      <w:r>
        <w:rPr>
          <w:rFonts w:ascii="Times New Roman" w:hAnsi="Times New Roman" w:cs="Times New Roman"/>
          <w:sz w:val="20"/>
          <w:szCs w:val="20"/>
        </w:rPr>
        <w:t>telephely(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ek</w:t>
      </w:r>
      <w:proofErr w:type="spellEnd"/>
      <w:r>
        <w:rPr>
          <w:rFonts w:ascii="Times New Roman" w:hAnsi="Times New Roman" w:cs="Times New Roman"/>
          <w:sz w:val="20"/>
          <w:szCs w:val="20"/>
        </w:rPr>
        <w:t>), fióktelep(</w:t>
      </w:r>
      <w:proofErr w:type="spellStart"/>
      <w:r>
        <w:rPr>
          <w:rFonts w:ascii="Times New Roman" w:hAnsi="Times New Roman" w:cs="Times New Roman"/>
          <w:sz w:val="20"/>
          <w:szCs w:val="20"/>
        </w:rPr>
        <w:t>ek</w:t>
      </w:r>
      <w:proofErr w:type="spellEnd"/>
      <w:r>
        <w:rPr>
          <w:rFonts w:ascii="Times New Roman" w:hAnsi="Times New Roman" w:cs="Times New Roman"/>
          <w:sz w:val="20"/>
          <w:szCs w:val="20"/>
        </w:rPr>
        <w:t>);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r>
        <w:rPr>
          <w:rFonts w:ascii="Times New Roman" w:hAnsi="Times New Roman" w:cs="Times New Roman"/>
          <w:sz w:val="20"/>
          <w:szCs w:val="20"/>
        </w:rPr>
        <w:t xml:space="preserve">főtevékenység, ténylegesen végzett egyéb </w:t>
      </w:r>
      <w:proofErr w:type="gramStart"/>
      <w:r>
        <w:rPr>
          <w:rFonts w:ascii="Times New Roman" w:hAnsi="Times New Roman" w:cs="Times New Roman"/>
          <w:sz w:val="20"/>
          <w:szCs w:val="20"/>
        </w:rPr>
        <w:t>tevékenység(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ek</w:t>
      </w:r>
      <w:proofErr w:type="spellEnd"/>
      <w:r>
        <w:rPr>
          <w:rFonts w:ascii="Times New Roman" w:hAnsi="Times New Roman" w:cs="Times New Roman"/>
          <w:sz w:val="20"/>
          <w:szCs w:val="20"/>
        </w:rPr>
        <w:t>);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d) </w:t>
      </w:r>
      <w:r>
        <w:rPr>
          <w:rFonts w:ascii="Times New Roman" w:hAnsi="Times New Roman" w:cs="Times New Roman"/>
          <w:sz w:val="20"/>
          <w:szCs w:val="20"/>
        </w:rPr>
        <w:t>adószám;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bankszámlaszám(ok);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a kis- és középvállalkozásokról, fejlődésük támogatásáról szóló törvény szerinti besorolás;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g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elektronikus elérhetőségek (e-mail, honlap);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törvényes képviselő, és - önkéntes adatszolgáltatás alapján, a gazdálkodó szervezet erre irányuló kérelme esetén - a kamarai kapcsolattartásra jogosult személy neve és elérhetőségei.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(3) A kamarai nyilvántartásba az a gazdálkodó szervezet jegyezhető be, amely a (2) bekezdésben meghatározott adatait tartalmazó kamarai adatlapot kitöltve és cégszerűen aláírva a területi gazdasági kamara részére elektronikus úton vagy papíralapon benyújtotta, valamint a 34/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>. §</w:t>
      </w:r>
      <w:proofErr w:type="spellStart"/>
      <w:r>
        <w:rPr>
          <w:rFonts w:ascii="Times New Roman" w:hAnsi="Times New Roman" w:cs="Times New Roman"/>
          <w:sz w:val="20"/>
          <w:szCs w:val="20"/>
        </w:rPr>
        <w:t>-ban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meghatározott kamarai hozzájárulást megfizette.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(4) Amennyiben a területi gazdasági kamara azt állapítja meg, hogy a gazdálkodó szervezet az e törvény szerinti kamarai nyilvántartásban nem szerepel, felszólítja, hogy e kötelezettségének öt munkanapon belül tegyen eleget. A felszólítás eredménytelensége esetén a gazdálkodó szervezetet az illetékes területi gazdasági kamara a kamarai nyilvántartásba bejegyzi és intézkedik a kamarai hozzájárulás összegének behajtása iránt.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(5) A gazdálkodó szervezet a megszűnése, vagy a kamarai nyilvántartásban szereplő adataiban történt változás esetén köteles öt munkanapon belül a nyilvántartást vezető területi gazdasági kamaránál a kamarai nyilvántartásból való törlését, illetve az adatmódosítást kezdeményezni. A kamarai nyilvántartásból való törlésért, illetve a </w:t>
      </w:r>
      <w:proofErr w:type="spellStart"/>
      <w:r>
        <w:rPr>
          <w:rFonts w:ascii="Times New Roman" w:hAnsi="Times New Roman" w:cs="Times New Roman"/>
          <w:sz w:val="20"/>
          <w:szCs w:val="20"/>
        </w:rPr>
        <w:t>változásbejelentés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alapján történő adatmódosításért díjat nem kell fizetni.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(6) A gazdálkodó szervezetek kamarai nyilvántartásában szereplő adatok nyilvánosak. A kamarai nyilvántartásból országos vagy több megyét érintő adatszolgáltatásra az országos gazdasági kamara, kizárólag a területi gazdasági kamara illetékességét érintő adatszolgáltatásra az érintett területi kamara jogosult. Az elektronikus regisztrációra, a nyilvántartás vezetésére és annak a (2) bekezdésben foglaltakon felüli, önkéntes adatszolgáltatáson alapuló adattartalmára, valamint a kamarai nyilvántartásból történő adatszolgáltatásra, annak a felmerülő költségekkel arányos díjára vonatkozó részletes szabályokat az országos gazdasági kamara alapszabálya állapítja meg.”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(4) A </w:t>
      </w:r>
      <w:proofErr w:type="spellStart"/>
      <w:r>
        <w:rPr>
          <w:rFonts w:ascii="Times New Roman" w:hAnsi="Times New Roman" w:cs="Times New Roman"/>
          <w:sz w:val="20"/>
          <w:szCs w:val="20"/>
        </w:rPr>
        <w:t>Gkt</w:t>
      </w:r>
      <w:proofErr w:type="spellEnd"/>
      <w:r>
        <w:rPr>
          <w:rFonts w:ascii="Times New Roman" w:hAnsi="Times New Roman" w:cs="Times New Roman"/>
          <w:sz w:val="20"/>
          <w:szCs w:val="20"/>
        </w:rPr>
        <w:t>. II. Fejezete a következő 8/B. §</w:t>
      </w:r>
      <w:proofErr w:type="spellStart"/>
      <w:r>
        <w:rPr>
          <w:rFonts w:ascii="Times New Roman" w:hAnsi="Times New Roman" w:cs="Times New Roman"/>
          <w:sz w:val="20"/>
          <w:szCs w:val="20"/>
        </w:rPr>
        <w:t>-sal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egészül ki: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„8/B. § (1) Az üzleti forgalom biztonságának, valamint a gazdaság fejlesztésének előmozdítása érdekében az országos kamara a kamarai nyilvántartás részeként, a gazdálkodó szervezetek iránti bizalom megítélését elősegítő és gazdasági tevékenységüket jellemző, nyilvánosan elérhető és közhiteles nyilvántartásból származó nyilvános információkat tartalmazó adatbázist hoz létre és működtet.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(2) Az adatbázis tartalmazza, hogy: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gazdálkodó szervezet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aa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köztartozásmentes adózónak,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ab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kiemelt adózónak,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ac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minősített ajánlattevőnek minősül-e vagy sem,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ad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a békéltető testületi eljárásra és egyezség hiányában az ilyen eljárásban hozott határozatra vonatkozóan általános alávetési nyilatkozatot tett-e,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ae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a fogyasztóvédelmi hatóság pozitív listának minősülő nyilvántartásában szerepel-e;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>a gazdálkodó szervezet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ba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csődeljárás, felszámolás eljárás, végelszámolás alatt áll-e, továbbá annak kezdő időpontját és befejezését,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bc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ellen végrehajtási eljárás folyamatban van-e, továbbá a végrehajtás elrendelését és megszüntetését;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r>
        <w:rPr>
          <w:rFonts w:ascii="Times New Roman" w:hAnsi="Times New Roman" w:cs="Times New Roman"/>
          <w:sz w:val="20"/>
          <w:szCs w:val="20"/>
        </w:rPr>
        <w:t>a gazdálkodó szervezet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ca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az adószám alkalmazásának felfüggesztése hatálya alatt áll-e,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cb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adószámát az állami adóhatóság törölte, vagy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cc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terhére az állami adhatóság az előző negyedév során jogerőre emelkedett határozatban 100 millió forintot meghaladó összegű adóhiányt állapított meg,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cd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180 napon keresztül folyamatosan fennálló, az állami adóhatóságnál nyilvántartott túlfizetéssel csökkentett adótartozása összességében számítva a 100 millió forintot meghaladja;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d) </w:t>
      </w:r>
      <w:r>
        <w:rPr>
          <w:rFonts w:ascii="Times New Roman" w:hAnsi="Times New Roman" w:cs="Times New Roman"/>
          <w:sz w:val="20"/>
          <w:szCs w:val="20"/>
        </w:rPr>
        <w:t>a gazdálkodó szervezetet a közbeszerzési eljárásban való részvételtől a Közbeszerzési Döntőbizottság jogerősen eltiltotta;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a gazdálkodó szervezettel szemben jogerősen megállapították a rendezett munkaügyi kapcsolatok megsértését;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a gazdálkodó szervezetet jogerősen jelentős összegre elmarasztalták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fa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versenyfelügyeleti eljárásban,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fb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a fogyasztóvédelmi hatóság eljárásában;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g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a gazdálkodó szervezet a békéltető testület eljárásában a tanács ajánlásának nem tett eleget.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(3) Az adatbázis tartalmazza a gazdálkodó szervezet nettó árbevételére, valamint gazdasági teljesítményét jellemző egyéb, nyilvánosan elérhető adatokat.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(4) A (2) bekezdés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f) </w:t>
      </w:r>
      <w:r>
        <w:rPr>
          <w:rFonts w:ascii="Times New Roman" w:hAnsi="Times New Roman" w:cs="Times New Roman"/>
          <w:sz w:val="20"/>
          <w:szCs w:val="20"/>
        </w:rPr>
        <w:t>pontja alkalmazásában jelentős összegűnek tekintendő bírság mértékét az országos gazdasági kamara és az érintett hatóságok közötti, a területi és az országos kamara honlapján is közzétett megállapodás tartalmazza.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(5) Az adatbázisban szereplő adatok valóságtartalmával összefüggő kifogást a gazdálkodó szervezet annál a hatóságnál emelhet, amely e § szerinti adatokat szolgáltatta. Ebben az </w:t>
      </w:r>
      <w:proofErr w:type="gramStart"/>
      <w:r>
        <w:rPr>
          <w:rFonts w:ascii="Times New Roman" w:hAnsi="Times New Roman" w:cs="Times New Roman"/>
          <w:sz w:val="20"/>
          <w:szCs w:val="20"/>
        </w:rPr>
        <w:t>esetben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az adatbázisban fel kell tüntetni, hogy az adat, tény valóságtartalmával összefüggésben az érintett gazdálkodó szervezet kifogást emelt.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(6) Az országos gazdasági kamara a </w:t>
      </w:r>
      <w:r>
        <w:rPr>
          <w:rFonts w:ascii="Times New Roman" w:hAnsi="Times New Roman" w:cs="Times New Roman"/>
          <w:i/>
          <w:iCs/>
          <w:sz w:val="20"/>
          <w:szCs w:val="20"/>
        </w:rPr>
        <w:t>d)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-g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pontban foglaltakat annak bejegyzésétől számított egy év elteltével törli az adatbázisból.”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(5) A </w:t>
      </w:r>
      <w:proofErr w:type="spellStart"/>
      <w:r>
        <w:rPr>
          <w:rFonts w:ascii="Times New Roman" w:hAnsi="Times New Roman" w:cs="Times New Roman"/>
          <w:sz w:val="20"/>
          <w:szCs w:val="20"/>
        </w:rPr>
        <w:t>Gkt</w:t>
      </w:r>
      <w:proofErr w:type="spellEnd"/>
      <w:r>
        <w:rPr>
          <w:rFonts w:ascii="Times New Roman" w:hAnsi="Times New Roman" w:cs="Times New Roman"/>
          <w:sz w:val="20"/>
          <w:szCs w:val="20"/>
        </w:rPr>
        <w:t>. 11. § (4) bekezdése helyébe a következő rendelkezés lép: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„(4) A kamarai közfeladatok ellátása, a 8/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>. § és a 8/B. § szerinti kamarai nyilvántartás, valamint a 31. § (1) bekezdése szerinti névjegyzék vezetése érdekében a céginformációs és az elektronikus cégeljárásban közreműködő szolgálat, illetve az egyéni vállalkozók nyilvántartását vezető szerv, az állami adóhatóság, az élelmiszerlánc-felügyeleti szerv, a Közbeszerzési Hatóság, a fogyasztóvédelmi hatóság, a munkaügyi hatóság, a Gazdasági Versenyhivatal elektronikus úton, térítésmentesen és nyilvántartás céljából módon átadja az országos kamara számára az e törvényben meghatározott nyilvános adatokat. Az adatszolgáltatás lebonyolításának technikai szabályait az érintett szervek és az országos gazdasági kamara megállapodásban rögzítik.”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(6) A </w:t>
      </w:r>
      <w:proofErr w:type="spellStart"/>
      <w:r>
        <w:rPr>
          <w:rFonts w:ascii="Times New Roman" w:hAnsi="Times New Roman" w:cs="Times New Roman"/>
          <w:sz w:val="20"/>
          <w:szCs w:val="20"/>
        </w:rPr>
        <w:t>Gkt</w:t>
      </w:r>
      <w:proofErr w:type="spellEnd"/>
      <w:r>
        <w:rPr>
          <w:rFonts w:ascii="Times New Roman" w:hAnsi="Times New Roman" w:cs="Times New Roman"/>
          <w:sz w:val="20"/>
          <w:szCs w:val="20"/>
        </w:rPr>
        <w:t>. 34/A. § (1) bekezdése helyébe a következő rendelkezés lép: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„(1) A kamarai közfeladatok ellátásához történő hozzájárulásként a gazdálkodó szervezet köteles kamarai hozzájárulást fizetni. Nem köteles kamarai hozzájárulást fizetni az egyéni vállalkozó, ha vállalkozási tevékenységét a naptári év teljes időszakában szünetelteti és ezt a nyilvántartását vezető területi gazdasági kamarának bejelenti.”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(7) A </w:t>
      </w:r>
      <w:proofErr w:type="spellStart"/>
      <w:r>
        <w:rPr>
          <w:rFonts w:ascii="Times New Roman" w:hAnsi="Times New Roman" w:cs="Times New Roman"/>
          <w:sz w:val="20"/>
          <w:szCs w:val="20"/>
        </w:rPr>
        <w:t>Gkt</w:t>
      </w:r>
      <w:proofErr w:type="spellEnd"/>
      <w:r>
        <w:rPr>
          <w:rFonts w:ascii="Times New Roman" w:hAnsi="Times New Roman" w:cs="Times New Roman"/>
          <w:sz w:val="20"/>
          <w:szCs w:val="20"/>
        </w:rPr>
        <w:t>. 45. §</w:t>
      </w:r>
      <w:proofErr w:type="spellStart"/>
      <w:r>
        <w:rPr>
          <w:rFonts w:ascii="Times New Roman" w:hAnsi="Times New Roman" w:cs="Times New Roman"/>
          <w:sz w:val="20"/>
          <w:szCs w:val="20"/>
        </w:rPr>
        <w:t>-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a következő (3)-(5) bekezdéssel egészül ki: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„(3) E törvénynek az egyes igazságügyi, jogállási és belügyi tárgyú törvények módosításáról szóló 2013. évi CCXLIII. törvénnyel (a továbbiakban: Módtv.2.) megállapított 2. §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pont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ab) </w:t>
      </w:r>
      <w:r>
        <w:rPr>
          <w:rFonts w:ascii="Times New Roman" w:hAnsi="Times New Roman" w:cs="Times New Roman"/>
          <w:sz w:val="20"/>
          <w:szCs w:val="20"/>
        </w:rPr>
        <w:t xml:space="preserve">alpontja szerinti gazdálkodó szervezet a nyilvántartásba vételi kötelezettséget a Módtv.2. hatálybalépését követő 60 napon belül köteles teljesíteni. Nem köteles kamarai nyilvántartásba vételét kezdeményezni a 2. §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pont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ab) </w:t>
      </w:r>
      <w:r>
        <w:rPr>
          <w:rFonts w:ascii="Times New Roman" w:hAnsi="Times New Roman" w:cs="Times New Roman"/>
          <w:sz w:val="20"/>
          <w:szCs w:val="20"/>
        </w:rPr>
        <w:t xml:space="preserve">alpontja szerinti egyéni </w:t>
      </w:r>
      <w:r>
        <w:rPr>
          <w:rFonts w:ascii="Times New Roman" w:hAnsi="Times New Roman" w:cs="Times New Roman"/>
          <w:sz w:val="20"/>
          <w:szCs w:val="20"/>
        </w:rPr>
        <w:lastRenderedPageBreak/>
        <w:t>vállalkozó, ha a Módtv.2. hatálybalépését követő 30 napon belül bejelenti a nyilvántartás vezetésére köteles területi gazdasági kamarának, hogy egyéni vállalkozói tevékenységét szünetelteti.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(4) A Módtv.2. alapján az országos gazdasági kamara és az érintett szervek legkésőbb 2014. június 30-ig megkötik a 11. § (4) bekezdése szerinti megállapodásokat.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(5) Az országos gazdasági kamara a Módtv.2.-vel megállapított 8/B. § alapján létrehozandó nyilvántartást 2015. december 31. napját követően köteles működtetni, amelyhez a gazdaságpolitikáért felelős miniszter az általa vezetett minisztérium költségvetési fejezete terhére költségvetési támogatást nyújt.”</w:t>
      </w:r>
    </w:p>
    <w:p w:rsidR="00532BB2" w:rsidRDefault="00532BB2" w:rsidP="00532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7EC1" w:rsidRDefault="00DB7EC1"/>
    <w:sectPr w:rsidR="00DB7EC1" w:rsidSect="005E2CA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B2"/>
    <w:rsid w:val="00291AC7"/>
    <w:rsid w:val="00532BB2"/>
    <w:rsid w:val="00DB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8175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Vándor Béla</dc:creator>
  <cp:lastModifiedBy>stoll.judit</cp:lastModifiedBy>
  <cp:revision>2</cp:revision>
  <dcterms:created xsi:type="dcterms:W3CDTF">2014-01-07T09:42:00Z</dcterms:created>
  <dcterms:modified xsi:type="dcterms:W3CDTF">2014-01-07T09:42:00Z</dcterms:modified>
</cp:coreProperties>
</file>